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a6df" w14:textId="04aa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26 наурыздағы N 77 Қаулысы. Қазақстан Республикасының Әділет министрлігінде 2005 жылғы 28 сәуірде тіркелді. Тіркеу N 3604. Күші жойылды - Қазақстан Республикасы Қаржы нарығын және қаржы ұйымдарын реттеу мен қадағалау агенттігі Басқармасының 2009 жылғы 5 тамыздағы N 191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2009.08.05 N 191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Бағалы қағаздар нарығында кәсіби қызметті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2342 тіркелген, Қазақстан Республикасы Ұлттық Банкінің "Қазақстан Ұлттық Банкінің Хабаршысы" және "Вестник Национального Банка Казахстана" N 12 басылымдарында 2003 жылғы 2 - 15 маусымда жарияланған, Қазақстан Республикасының нормативтік құқықтық актілерін мемлекеттік тіркеу Тізілімінде N 3239 тіркелген, Агенттік Басқармасының 2004 жылғы 25 қазандағы N 229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мынадай толықтырулар енгізілсін: </w:t>
      </w:r>
      <w:r>
        <w:br/>
      </w:r>
      <w:r>
        <w:rPr>
          <w:rFonts w:ascii="Times New Roman"/>
          <w:b w:val="false"/>
          <w:i w:val="false"/>
          <w:color w:val="000000"/>
          <w:sz w:val="28"/>
        </w:rPr>
        <w:t xml:space="preserve">
      көрсетілген қаулымен бекітілген Бағалы қағаздар рыногында кастодиандық қызметті жүзеге асыру ережесінде: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Қазақстан Республикасының Бағалы қағаздар нарығында кастодиандық және брокерлік-дилерлік қызметті қоса атқаратын екінші деңгейдегі банк: </w:t>
      </w:r>
      <w:r>
        <w:br/>
      </w:r>
      <w:r>
        <w:rPr>
          <w:rFonts w:ascii="Times New Roman"/>
          <w:b w:val="false"/>
          <w:i w:val="false"/>
          <w:color w:val="000000"/>
          <w:sz w:val="28"/>
        </w:rPr>
        <w:t xml:space="preserve">
      1) банктің ұйымдық құрылымында бағалы қағаздар нарығында кастодиандық қызметті жүзеге асыратын жекелеген бөлімшенің болуын; </w:t>
      </w:r>
      <w:r>
        <w:br/>
      </w:r>
      <w:r>
        <w:rPr>
          <w:rFonts w:ascii="Times New Roman"/>
          <w:b w:val="false"/>
          <w:i w:val="false"/>
          <w:color w:val="000000"/>
          <w:sz w:val="28"/>
        </w:rPr>
        <w:t xml:space="preserve">
      2) кастодиандық қызметті жүзеге асыратын бөлімшенің қаржы нарығында өзге қызмет түрлерін жүзеге асырмауын; </w:t>
      </w:r>
      <w:r>
        <w:br/>
      </w:r>
      <w:r>
        <w:rPr>
          <w:rFonts w:ascii="Times New Roman"/>
          <w:b w:val="false"/>
          <w:i w:val="false"/>
          <w:color w:val="000000"/>
          <w:sz w:val="28"/>
        </w:rPr>
        <w:t xml:space="preserve">
      3) кастодиандық қызметті жүзеге асыратын бөлімшенің, жекелеген үй-жайлардың болуын; </w:t>
      </w:r>
      <w:r>
        <w:br/>
      </w:r>
      <w:r>
        <w:rPr>
          <w:rFonts w:ascii="Times New Roman"/>
          <w:b w:val="false"/>
          <w:i w:val="false"/>
          <w:color w:val="000000"/>
          <w:sz w:val="28"/>
        </w:rPr>
        <w:t xml:space="preserve">
      4) кастодиандық қызметті жүзеге асыратын бөлімше алатын үй-жайларда оларға реттелетін кіру жүйелерінің болуын; </w:t>
      </w:r>
      <w:r>
        <w:br/>
      </w:r>
      <w:r>
        <w:rPr>
          <w:rFonts w:ascii="Times New Roman"/>
          <w:b w:val="false"/>
          <w:i w:val="false"/>
          <w:color w:val="000000"/>
          <w:sz w:val="28"/>
        </w:rPr>
        <w:t xml:space="preserve">
      5) кастодиандық қызметті жүзеге асыратын бөлімшеде брокерлік-дилерлік қызметті жүзеге асыратын бөлімшеден бөлек есепке алу және құжат айналымы жүйелерінің болуын; </w:t>
      </w:r>
      <w:r>
        <w:br/>
      </w:r>
      <w:r>
        <w:rPr>
          <w:rFonts w:ascii="Times New Roman"/>
          <w:b w:val="false"/>
          <w:i w:val="false"/>
          <w:color w:val="000000"/>
          <w:sz w:val="28"/>
        </w:rPr>
        <w:t xml:space="preserve">
      6) жоғарыда аталған бөлімшелердің біреуінің қызметкерлерін екіншінің құжаттамаларына және бағдарламалық-техникалық кешендерге (оның ішінде деректердің электрондық массивтеріне) кіруіне жол бермеуді; </w:t>
      </w:r>
      <w:r>
        <w:br/>
      </w:r>
      <w:r>
        <w:rPr>
          <w:rFonts w:ascii="Times New Roman"/>
          <w:b w:val="false"/>
          <w:i w:val="false"/>
          <w:color w:val="000000"/>
          <w:sz w:val="28"/>
        </w:rPr>
        <w:t xml:space="preserve">
      7) лауазымды тұлғалар мен қызметкерлердің банктің жоғарыда аталған бөлімшелердің біреуінде қолда бар (олар өздерінің лауазымдарына немесе оларға берілген құқықтар мен өкілеттіктерге орай алуға рұқсаты бар) ақпаратты банктің жоғарыда аталған бөлімшелердің екіншісінің қызметкерлеріне бермеуді қамтамасыз етеді."; </w:t>
      </w:r>
      <w:r>
        <w:br/>
      </w:r>
      <w:r>
        <w:rPr>
          <w:rFonts w:ascii="Times New Roman"/>
          <w:b w:val="false"/>
          <w:i w:val="false"/>
          <w:color w:val="000000"/>
          <w:sz w:val="28"/>
        </w:rPr>
        <w:t xml:space="preserve">
      мынадай мазмұндағы 22-1-тармақпен толықтырылсын: </w:t>
      </w:r>
      <w:r>
        <w:br/>
      </w:r>
      <w:r>
        <w:rPr>
          <w:rFonts w:ascii="Times New Roman"/>
          <w:b w:val="false"/>
          <w:i w:val="false"/>
          <w:color w:val="000000"/>
          <w:sz w:val="28"/>
        </w:rPr>
        <w:t xml:space="preserve">
      "22-1. Кастодиан халықаралық депозитарлық-есеп айырысу жүйелеріне кірудің мынадай түрлерінің біреуі ("Еuroclear" және "Сlearstream Internatіonal" типті) болған кезде жинақтаушы зейнетақы қорларының зейнетақы активтерін сақтау және есепке алу қызметін көрсете алады: </w:t>
      </w:r>
      <w:r>
        <w:br/>
      </w:r>
      <w:r>
        <w:rPr>
          <w:rFonts w:ascii="Times New Roman"/>
          <w:b w:val="false"/>
          <w:i w:val="false"/>
          <w:color w:val="000000"/>
          <w:sz w:val="28"/>
        </w:rPr>
        <w:t xml:space="preserve">
      1) тікелей кіру; </w:t>
      </w:r>
      <w:r>
        <w:br/>
      </w:r>
      <w:r>
        <w:rPr>
          <w:rFonts w:ascii="Times New Roman"/>
          <w:b w:val="false"/>
          <w:i w:val="false"/>
          <w:color w:val="000000"/>
          <w:sz w:val="28"/>
        </w:rPr>
        <w:t xml:space="preserve">
      2) бағалы қағаздар нарығында кастодиандық қызметті көрсететін және көрсетілген жүйелерге тікелей кіруге рұқсаты бар шетелдік ұйымдармен кастодиандық шартты жасау арқылы; </w:t>
      </w:r>
      <w:r>
        <w:br/>
      </w:r>
      <w:r>
        <w:rPr>
          <w:rFonts w:ascii="Times New Roman"/>
          <w:b w:val="false"/>
          <w:i w:val="false"/>
          <w:color w:val="000000"/>
          <w:sz w:val="28"/>
        </w:rPr>
        <w:t xml:space="preserve">
      3) орталық депозитарийдің қызметін пайдалану арқылы.".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қолданысқа енген күннен бастап: </w:t>
      </w:r>
      <w:r>
        <w:br/>
      </w:r>
      <w:r>
        <w:rPr>
          <w:rFonts w:ascii="Times New Roman"/>
          <w:b w:val="false"/>
          <w:i w:val="false"/>
          <w:color w:val="000000"/>
          <w:sz w:val="28"/>
        </w:rPr>
        <w:t xml:space="preserve">
      1) Қазақстан Республикасының Бағалы қағаздар жөніндегі ұлттық комиссиясы Директоратының "Жинақтаушы зейнетақы қорларының зейнетақы активтерін сақтау және есепке алу қызметін көрсететін кастодиан банктерге қойылатын талаптар туралы" 2000 жылғы 6 қарашадағы N 711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1321 тіркелген, 2001 жылғы қаңтарда "Рынок ценных бумаг Казахстана" N 1 журналда жарияланған); </w:t>
      </w:r>
      <w:r>
        <w:br/>
      </w:r>
      <w:r>
        <w:rPr>
          <w:rFonts w:ascii="Times New Roman"/>
          <w:b w:val="false"/>
          <w:i w:val="false"/>
          <w:color w:val="000000"/>
          <w:sz w:val="28"/>
        </w:rPr>
        <w:t xml:space="preserve">
      2) "Қазақстан Республикасының бағалы қағаздар рыногында кастодиандық және брокерлік-дилерлік қызметті қоса атқаратын екінші деңгейдегі банктерге қойылатын талаптар туралы" Қазақстан Республикасының Бағалы қағаздар жөніндегі ұлттық комиссиясының 2000 жылғы 30 қыркүйектегі N 83 және Қазақстан Республикасының Ұлттық Банкі Басқармасының 2000 жылғы 3 қарашадағы N 145 бірлескен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2000 жылғы 8 желтоқсанда N 1323 тіркелген, Қазақстан Республикасының бағалы қағаздар рыногы жөніндегі Нормативтік құқықтық және нормативтік актілер жинағында жарияланған, 2001 жыл, IV-том)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Заңды тұлғалардың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