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611e" w14:textId="ba86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ережені бекіту туралы" 2003 жылғы 29 мамырдағы N 178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 төрағасының 2005 жылғы 30 шілдедегі N 262 қаулысы. Қазақстан Республикасы Әділет министрлігінде 2005 жылғы 15 тамызда тіркелді. Тіркеу N 3786. Күші жойылды - ҚР Қаржы нарығын және қаржы ұйымдарын реттеу мен қадағалау агенттігі Басқармасының 2007 жылғы 25 маусымдағы N 188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Қаржы нарығын және қаржы ұйымдарын реттеу мен қадағалау агенттігі Басқармасының 2005 жылғы 30 шілдедегі N 262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және зейнетақы активтерін инвестициялық басқаруды жүзеге асыратын ұйымдардың қызметі туралы мүдделі тұлғалардың алдында ақпаратты ашып көрсету жүйесін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ережені бекіту туралы" 2003 жылғы 29 мамырдағы N 178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2387 тіркелген, Қазақстан Республикасы Ұлттық Банкінің 2003 жылғы 30 маусым - 13 шілде аралығындағы "Қазақстан Ұлттық Банкінің Хабаршысы" және "Вестник Национального Банка Казахстана" N 14 басылымдарында жарияланған) мынадай толықтырулар мен өзгерістер енгізілсін:
</w:t>
      </w:r>
      <w:r>
        <w:br/>
      </w:r>
      <w:r>
        <w:rPr>
          <w:rFonts w:ascii="Times New Roman"/>
          <w:b w:val="false"/>
          <w:i w:val="false"/>
          <w:color w:val="000000"/>
          <w:sz w:val="28"/>
        </w:rPr>
        <w:t>
      Жинақтаушы зейнетақы қорларының және зейнетақы активтерін инвестициялық басқаруды жүзеге асыратын ұйымдардың тоқсан сайынғы біріктірілген есептерін бұқаралық ақпарат құралдарында жариялау тәртібі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Жарияланым мерзімін Қауымдастықтың жазбаша өтініші бойынша уәкілетті орган ұзартуы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Қосымшада:
</w:t>
      </w:r>
      <w:r>
        <w:br/>
      </w:r>
      <w:r>
        <w:rPr>
          <w:rFonts w:ascii="Times New Roman"/>
          <w:b w:val="false"/>
          <w:i w:val="false"/>
          <w:color w:val="000000"/>
          <w:sz w:val="28"/>
        </w:rPr>
        <w:t>
      1-бөлімдегі кестеде:
</w:t>
      </w:r>
    </w:p>
    <w:p>
      <w:pPr>
        <w:spacing w:after="0"/>
        <w:ind w:left="0"/>
        <w:jc w:val="both"/>
      </w:pPr>
      <w:r>
        <w:rPr>
          <w:rFonts w:ascii="Times New Roman"/>
          <w:b w:val="false"/>
          <w:i w:val="false"/>
          <w:color w:val="000000"/>
          <w:sz w:val="28"/>
        </w:rPr>
        <w:t>
</w:t>
      </w:r>
      <w:r>
        <w:rPr>
          <w:rFonts w:ascii="Times New Roman"/>
          <w:b w:val="false"/>
          <w:i w:val="false"/>
          <w:color w:val="000000"/>
          <w:sz w:val="28"/>
        </w:rPr>
        <w:t>
      5-бағанның атауындағы "ақысы төленген"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және 8-бағандар мынадай мазмұндағы 7, 8 және 8-1-бағандармен ауыстырылсын: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813"/>
        <w:gridCol w:w="357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Салымшылар (адам) саны
</w:t>
            </w:r>
          </w:p>
        </w:tc>
      </w:tr>
      <w:tr>
        <w:trPr>
          <w:trHeight w:val="450" w:hRule="atLeast"/>
        </w:trPr>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ерікті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ерікті-кәсіби
</w:t>
            </w:r>
          </w:p>
        </w:tc>
      </w:tr>
      <w:tr>
        <w:trPr>
          <w:trHeight w:val="450" w:hRule="atLeast"/>
        </w:trPr>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2-бөлімнің кестесі мынадай мазмұндағы 8-1 - 8-5-бағандармен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873"/>
        <w:gridCol w:w="2393"/>
        <w:gridCol w:w="1813"/>
        <w:gridCol w:w="1733"/>
      </w:tblGrid>
      <w:tr>
        <w:trPr>
          <w:trHeight w:val="450" w:hRule="atLeast"/>
        </w:trPr>
        <w:tc>
          <w:tcPr>
            <w:tcW w:w="3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инвестициялық
</w:t>
            </w:r>
            <w:r>
              <w:br/>
            </w:r>
            <w:r>
              <w:rPr>
                <w:rFonts w:ascii="Times New Roman"/>
                <w:b w:val="false"/>
                <w:i w:val="false"/>
                <w:color w:val="000000"/>
                <w:sz w:val="20"/>
              </w:rPr>
              <w:t>
қорларының
</w:t>
            </w:r>
            <w:r>
              <w:br/>
            </w:r>
            <w:r>
              <w:rPr>
                <w:rFonts w:ascii="Times New Roman"/>
                <w:b w:val="false"/>
                <w:i w:val="false"/>
                <w:color w:val="000000"/>
                <w:sz w:val="20"/>
              </w:rPr>
              <w:t>
пайлары
</w:t>
            </w:r>
          </w:p>
        </w:tc>
        <w:tc>
          <w:tcPr>
            <w:tcW w:w="2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w:t>
            </w:r>
            <w:r>
              <w:br/>
            </w:r>
            <w:r>
              <w:rPr>
                <w:rFonts w:ascii="Times New Roman"/>
                <w:b w:val="false"/>
                <w:i w:val="false"/>
                <w:color w:val="000000"/>
                <w:sz w:val="20"/>
              </w:rPr>
              <w:t>
инвестициялық
</w:t>
            </w:r>
            <w:r>
              <w:br/>
            </w:r>
            <w:r>
              <w:rPr>
                <w:rFonts w:ascii="Times New Roman"/>
                <w:b w:val="false"/>
                <w:i w:val="false"/>
                <w:color w:val="000000"/>
                <w:sz w:val="20"/>
              </w:rPr>
              <w:t>
қорлардың
</w:t>
            </w:r>
            <w:r>
              <w:br/>
            </w:r>
            <w:r>
              <w:rPr>
                <w:rFonts w:ascii="Times New Roman"/>
                <w:b w:val="false"/>
                <w:i w:val="false"/>
                <w:color w:val="000000"/>
                <w:sz w:val="20"/>
              </w:rPr>
              <w:t>
пайлары
</w:t>
            </w:r>
          </w:p>
        </w:tc>
        <w:tc>
          <w:tcPr>
            <w:tcW w:w="2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w:t>
            </w:r>
            <w:r>
              <w:br/>
            </w:r>
            <w:r>
              <w:rPr>
                <w:rFonts w:ascii="Times New Roman"/>
                <w:b w:val="false"/>
                <w:i w:val="false"/>
                <w:color w:val="000000"/>
                <w:sz w:val="20"/>
              </w:rPr>
              <w:t>
қымбат 
</w:t>
            </w:r>
            <w:r>
              <w:br/>
            </w:r>
            <w:r>
              <w:rPr>
                <w:rFonts w:ascii="Times New Roman"/>
                <w:b w:val="false"/>
                <w:i w:val="false"/>
                <w:color w:val="000000"/>
                <w:sz w:val="20"/>
              </w:rPr>
              <w:t>
металдар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қаржы
</w:t>
            </w:r>
            <w:r>
              <w:br/>
            </w:r>
            <w:r>
              <w:rPr>
                <w:rFonts w:ascii="Times New Roman"/>
                <w:b w:val="false"/>
                <w:i w:val="false"/>
                <w:color w:val="000000"/>
                <w:sz w:val="20"/>
              </w:rPr>
              <w:t>
құралдары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теңгемен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w:t>
            </w:r>
            <w:r>
              <w:br/>
            </w:r>
            <w:r>
              <w:rPr>
                <w:rFonts w:ascii="Times New Roman"/>
                <w:b w:val="false"/>
                <w:i w:val="false"/>
                <w:color w:val="000000"/>
                <w:sz w:val="20"/>
              </w:rPr>
              <w:t>
валюта-
</w:t>
            </w:r>
            <w:r>
              <w:br/>
            </w:r>
            <w:r>
              <w:rPr>
                <w:rFonts w:ascii="Times New Roman"/>
                <w:b w:val="false"/>
                <w:i w:val="false"/>
                <w:color w:val="000000"/>
                <w:sz w:val="20"/>
              </w:rPr>
              <w:t>
сында
</w:t>
            </w:r>
          </w:p>
        </w:tc>
      </w:tr>
      <w:tr>
        <w:trPr>
          <w:trHeight w:val="45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"Активтерді басқарушылар қауымдастығы" заңды тұлғалар бірлестігіне, зейнетақы активтерін инвестициялық басқаруды жүзеге асыратын ұйымдарға,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