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775cd" w14:textId="87775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Донорды медициналық тексеру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22 қыркүйектегі N 464 Бұйрығы. Қазақстан Республикасының Әділет министрлігінде 2005 жылғы 13 қазанда тіркелді. Тіркеу N 3890. Күші жойылды - Қазақстан Республикасы Денсаулық сақтау министрінің м.а. 2009 жылғы 10 қарашадағы N 680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2009.11.10 N 680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"Қан мен оның компоненттерінің донорлығы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Донорды медициналық тексеру ережесі бекітілсін. </w:t>
      </w:r>
      <w:r>
        <w:br/>
      </w:r>
      <w:r>
        <w:rPr>
          <w:rFonts w:ascii="Times New Roman"/>
          <w:b w:val="false"/>
          <w:i w:val="false"/>
          <w:color w:val="000000"/>
          <w:sz w:val="28"/>
        </w:rPr>
        <w:t xml:space="preserve">
      2. Емдеу-алдын алу ісі департаменті (Нерсесов А.В.) осы бұйрықтың Қазақстан Республикасы Әділет министрлігінде мемлекеттік тіркелуін қамтамасыз етсін. </w:t>
      </w:r>
      <w:r>
        <w:br/>
      </w:r>
      <w:r>
        <w:rPr>
          <w:rFonts w:ascii="Times New Roman"/>
          <w:b w:val="false"/>
          <w:i w:val="false"/>
          <w:color w:val="000000"/>
          <w:sz w:val="28"/>
        </w:rPr>
        <w:t xml:space="preserve">
      3. Ұйымдастыру-құқықтық жұмыс департаменті (Акрачкова Д.В.) осы бұйрықты Қазақстан Республикасы Әділет министрлігінде мемлекеттік тіркеуден өткізгеннен кейін оның бұқаралық ақпарат құралдарында ресми жариялануын қамтамасыз етсін. </w:t>
      </w:r>
      <w:r>
        <w:br/>
      </w:r>
      <w:r>
        <w:rPr>
          <w:rFonts w:ascii="Times New Roman"/>
          <w:b w:val="false"/>
          <w:i w:val="false"/>
          <w:color w:val="000000"/>
          <w:sz w:val="28"/>
        </w:rPr>
        <w:t xml:space="preserve">
      4. Осы бұйрықтың орындалуын бақылау Қазақстан Республикасы Денсаулық сақтау вице-министрі С.Ә.Диқанбаеваға жүктелсін. </w:t>
      </w:r>
      <w:r>
        <w:br/>
      </w:r>
      <w:r>
        <w:rPr>
          <w:rFonts w:ascii="Times New Roman"/>
          <w:b w:val="false"/>
          <w:i w:val="false"/>
          <w:color w:val="000000"/>
          <w:sz w:val="28"/>
        </w:rPr>
        <w:t xml:space="preserve">
      5. Осы бұйрық ресми жарияланған күнінен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22 қыркүйектегі     </w:t>
      </w:r>
      <w:r>
        <w:br/>
      </w:r>
      <w:r>
        <w:rPr>
          <w:rFonts w:ascii="Times New Roman"/>
          <w:b w:val="false"/>
          <w:i w:val="false"/>
          <w:color w:val="000000"/>
          <w:sz w:val="28"/>
        </w:rPr>
        <w:t xml:space="preserve">
N 464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Донорды медициналық тексеру ережесі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Осы ереже "Қан мен оның компоненттерінің донорлығы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донорды медициналық тексеру тәртібін белгілейді.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Тиісті медициналық тексеруден өткен және қан тапсыру үшін денсаулығының жарамсыз көрсеткіштері жоқ, медициналық мақсаттар үшін қан мен оның компоненттерін тапсыруға ерікті түрде ниет білдірген он сегіз жастан алпыс жасқа дейінгі жеке тұлға донор болуға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Донорларды қабылдау мен есепке алу тәртібі </w:t>
      </w:r>
    </w:p>
    <w:p>
      <w:pPr>
        <w:spacing w:after="0"/>
        <w:ind w:left="0"/>
        <w:jc w:val="both"/>
      </w:pPr>
      <w:r>
        <w:rPr>
          <w:rFonts w:ascii="Times New Roman"/>
          <w:b w:val="false"/>
          <w:i w:val="false"/>
          <w:color w:val="000000"/>
          <w:sz w:val="28"/>
        </w:rPr>
        <w:t xml:space="preserve">      3. Қан қызметі ұйымдарында донорларды қабылдау жеке басын куәландыратын құжаттардың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Жеке басын куәландыратын құжатты ұсынғаннан кейін донорға осы ол өз бетінше немесе медициналық тіркеушінің көмегімен толтырылатын сауалнама беріледі. Толтырылған сауалнама донордың есепке алу картасына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Сауалнаманың мәліметтері бойынша медициналық тексеру кезінде немесе техникалық себептер бойынша ресімдерді жүзеге асыру кезінде анықталған қарсы айғақтары бойынша қан беруден шеттетілген донорға жоғалтқан уақыты көрсетіле отырып, тексерілгендігі туралы анықтама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Донорларды есепке алу кезінде денсаулық сақтау саласындағы уәкілетті органның бұйрығымен бастапқы медициналық құжатты жүргізу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Донорлар туралы компьютерлік деректер қоры белгіленген есептік нысандарға сәйкес қағазда немесе электрондық хабарлауышта ақпарат қайталанады.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Қан берілгеннен кейін алғашқы донорларға мынадай ақпараттан тұратын "Донор куәлігі" беріледі: </w:t>
      </w:r>
      <w:r>
        <w:br/>
      </w:r>
      <w:r>
        <w:rPr>
          <w:rFonts w:ascii="Times New Roman"/>
          <w:b w:val="false"/>
          <w:i w:val="false"/>
          <w:color w:val="000000"/>
          <w:sz w:val="28"/>
        </w:rPr>
        <w:t xml:space="preserve">
      1) аты, тегі, әкесінің аты; </w:t>
      </w:r>
      <w:r>
        <w:br/>
      </w:r>
      <w:r>
        <w:rPr>
          <w:rFonts w:ascii="Times New Roman"/>
          <w:b w:val="false"/>
          <w:i w:val="false"/>
          <w:color w:val="000000"/>
          <w:sz w:val="28"/>
        </w:rPr>
        <w:t xml:space="preserve">
      2) фотография; </w:t>
      </w:r>
      <w:r>
        <w:br/>
      </w:r>
      <w:r>
        <w:rPr>
          <w:rFonts w:ascii="Times New Roman"/>
          <w:b w:val="false"/>
          <w:i w:val="false"/>
          <w:color w:val="000000"/>
          <w:sz w:val="28"/>
        </w:rPr>
        <w:t xml:space="preserve">
      3) туған жылы; </w:t>
      </w:r>
      <w:r>
        <w:br/>
      </w:r>
      <w:r>
        <w:rPr>
          <w:rFonts w:ascii="Times New Roman"/>
          <w:b w:val="false"/>
          <w:i w:val="false"/>
          <w:color w:val="000000"/>
          <w:sz w:val="28"/>
        </w:rPr>
        <w:t xml:space="preserve">
      4) қан тобы мен резус-фактор.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Донорларды тексеру және донорлық </w:t>
      </w:r>
      <w:r>
        <w:br/>
      </w:r>
      <w:r>
        <w:rPr>
          <w:rFonts w:ascii="Times New Roman"/>
          <w:b w:val="false"/>
          <w:i w:val="false"/>
          <w:color w:val="000000"/>
          <w:sz w:val="28"/>
        </w:rPr>
        <w:t>
</w:t>
      </w:r>
      <w:r>
        <w:rPr>
          <w:rFonts w:ascii="Times New Roman"/>
          <w:b/>
          <w:i w:val="false"/>
          <w:color w:val="000080"/>
          <w:sz w:val="28"/>
        </w:rPr>
        <w:t xml:space="preserve">қанның скринингі </w:t>
      </w:r>
    </w:p>
    <w:p>
      <w:pPr>
        <w:spacing w:after="0"/>
        <w:ind w:left="0"/>
        <w:jc w:val="both"/>
      </w:pPr>
      <w:r>
        <w:rPr>
          <w:rFonts w:ascii="Times New Roman"/>
          <w:b w:val="false"/>
          <w:i w:val="false"/>
          <w:color w:val="000000"/>
          <w:sz w:val="28"/>
        </w:rPr>
        <w:t xml:space="preserve">      9. Донорларды медициналық тексеру донордың сауалнамаларын талдаудан басталады. </w:t>
      </w:r>
      <w:r>
        <w:br/>
      </w:r>
      <w:r>
        <w:rPr>
          <w:rFonts w:ascii="Times New Roman"/>
          <w:b w:val="false"/>
          <w:i w:val="false"/>
          <w:color w:val="000000"/>
          <w:sz w:val="28"/>
        </w:rPr>
        <w:t xml:space="preserve">
      Сауалнамадағы сұрақтардың жауаптарын бағалай отырып, донордың медициналық куәландыруды одан әрі өту мүмкіндігі туралы шешім қабылданады немесе донорлыққа қарсы айғақтар анықталған жағдайда оған қабылданбау себебі түсіндіріледі. Дәрігердің қабылдауына дейін донорда гемоглобиннің (немесе гематокриттің) мөлшері, қанның тобы мен резус-факторы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анықталады. Дәрігер анамнезді жинағаннан кейін донордың дене қызуын өлшейді және тері жабындыларын, көрініп тұрған шырыштарды жалпы тексеру, лимфа түйіндерін қолмен тексеру, кеуде клеткасы органдарын тыңдау, іш пердесі қуысын қолмен тексеру жүргізіледі және пульстің ырғақтылығы мен жиілігі тексеріледі, артериялық қан қысымы (АҚҚ) өлшенеді. Қан дайындаудың стандартты мөлшері - 450 мл+10 мл. Салмағы 50 кг және бойы 150 см болатын донордан дәрігердің қалауы бойынша қанның аз мөлшерін (кг салмаққа 4-6 мл), бірақ нормадағы дене салмағының 6,5-7% құрайтын қан айналымының жалпы мөлшерінен кем дегенде 13 % алу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Мынадай айғақтары бойынша донорлық қанның скринингі жүргізіледі: </w:t>
      </w:r>
      <w:r>
        <w:br/>
      </w:r>
      <w:r>
        <w:rPr>
          <w:rFonts w:ascii="Times New Roman"/>
          <w:b w:val="false"/>
          <w:i w:val="false"/>
          <w:color w:val="000000"/>
          <w:sz w:val="28"/>
        </w:rPr>
        <w:t xml:space="preserve">
      қанның тобы мен резус-тиістілік; </w:t>
      </w:r>
      <w:r>
        <w:br/>
      </w:r>
      <w:r>
        <w:rPr>
          <w:rFonts w:ascii="Times New Roman"/>
          <w:b w:val="false"/>
          <w:i w:val="false"/>
          <w:color w:val="000000"/>
          <w:sz w:val="28"/>
        </w:rPr>
        <w:t xml:space="preserve">
      аланинаминотрансферездердің белсенділігі (бұдан әрі - АлЛТ); </w:t>
      </w:r>
      <w:r>
        <w:br/>
      </w:r>
      <w:r>
        <w:rPr>
          <w:rFonts w:ascii="Times New Roman"/>
          <w:b w:val="false"/>
          <w:i w:val="false"/>
          <w:color w:val="000000"/>
          <w:sz w:val="28"/>
        </w:rPr>
        <w:t xml:space="preserve">
      мерезге, В гепатиті антигеніне, С гепатитке антиденеге және адамның иммундық тапшылығының 1,2 вирусына (АҚТҚ-1,2) серологиялық зерттеу.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В, С гепатиттеріне, АҚТҚ мен мерез маркерлеріне қан донорлардың қанын тексеру медициналық тексеру кезеңінде қан беруге дейін немесе кейіннен "серіктер"- шыны аспаптардан қанды сынау кезінде жүргізіледі. Мерезге, В, С гепатиттеріне, АҚТҚ-1.2 маркерлеріне тексерілмеген қан мен оның компоненттерін беруге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Серологиялық реакция кешенінің (бұдан әрі - СРК) көмегі - кардиолипинді антигенді иммундық-ферментті талдау (ИФТ) және микропреципитация реакциясы кезінде мерезге зерттеу жүзеге асырылады. СРК теріс нәтижесі кезінде донор қан тапсыруға жіберіледі. Бір реакцияның өзінде оң және күмәнді нәтижелер пайда болған жағдайда қан жарамсыз деп танылып, құртылады, бұл ретте донордың тұрақты мекен-жайы бойынша тері-венерология диспансеріне (ТВД) шұғыл хабарлама жасалады. Егер ТВД донорды тексеру нәтижесінде дәл сол сәтте және анамнезде мерез болмаса, ал Қан орталығында оған жүргізілген серологиялық реакцияның нәтижесі бойынша теріс болса, онда донорға қайтадан донорлық беріледі. Серологиялық реакцияның оң және күмәнді нәтижелері анықталған жағдайда донор 6 айға дейін қан тапсырудан шеттетіледі. Донордың картасына: "6 айға дейін донорлықтан босатылды" деп жазылады. 6 айдан кейін бақылау серологиялық зерттеуі жүргізіледі. 6 айдан кейін донордың қан сарысуының үлгісінде СРК теріс болса, онда донор донорлыққа жіберіледі, оң нәтиже болған жағдайда ұзақ мерзімге қан тапсырудан босатылады. Донордың БДО картасында "Абсолюттік кемшілік" деп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В гепатитін HbsAg-не және С гепатиті вирусына антиденеге (бұдан әрі - АД) ИФТ әдісі бойынша зерттеу жүргізіледі. Теріс жауап алынған жағдайда қан тапсыруға рұқсат етіледі. Оң және күмәнді нәтижелер басқа өндірушінің тест-жүйесімен және нақтылайтын тестімен қайтадан тестіленеді. Егер қайта қойғанда және нақтылаушы тестілеуде үлгі теріс нәтиже көрсетсе, онда донор қан тапсыруға жіберіледі, оң нәтижеде - шеттетеді. Донор туралы мәліметтер жергілікті мемлекеттік санитарлық-эпидемиологиялық қадағалау органына беріледі. Қан жарамсыз деп танылып, құртылады. Донордың БДО картасында "Абсолюттік кемшілік" деп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АҚТҚ-1,2 АД-не зерттеу антиген-антидене тест-жүйелерінде ИФТ әдісімен жүзеге асырылады. Талдаудың теріс нәтижесі кезінде донор қан тапсыруға жол беріледі. Серологиялық нәтиженің оң немесе күмәнді нәтижелерді алған кезде жалған-оң нәтижелерден алшақ болу үшін донордың қанының сарысуы талдау басқа өндірушінің тест-жүйесінде 1 немесе 2 рет қайталануы тиіс. Егер екі рет қайталанғандардың екеуі де немесе үш қайталанғандардың екеуі антидененің нақты бар екендігін анықтаған жағдайда серопозитивті үлгі болып саналады. Серопозитивті үлгіні бастапқы анықтау кезінде донор туралы мәліметтер арнайы журналға жазылады, бастапқы үлгідегі сарысулар одан арғы зерттеулер үшін ЖҚТБ аумақтық орталығының зертханасына жіберіледі. Донордың картасында "Республикалық ЖҚТБ орталығына сарысу үлгісі" деп жазылады. Тіпті ЖҚТБ орталығынан оң нәтижесін алған жағдайда донор донорлықтан 6 айға (карантин) шеттетіледі. Донордың БДО картасында "Донорлықтан 6 айға шеттетілді" деп жазылады. 6 айдан кейін бақылау серологиялық зерттеулері жүргізіледі. АҚТБ-1,2-ге ИФТ-те осы зерттеулердің - нәтижесінде донор қайтадан кезекті қан тапсыруға жіберіледі, ал - болған жағдайда донор ұзақ мерзімге шеттетіледі. Донордың БДО картасында "Абсолюттік кемшілік" деп жазылады. Сарысудың үлгісі Республикалық ЖҚТБ орталығының референс-зертханасына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Ақылы донорларға алғаш қаралған кезде, ал одан кейін кем дегенде жылына бір рет қан мен несепке жалпы клиникалық талдау жүргізіледі. Донорлардың перифериялық қан құрамының нормалары мен биохимиялық көрсеткіштері осы ережеге  </w:t>
      </w:r>
      <w:r>
        <w:rPr>
          <w:rFonts w:ascii="Times New Roman"/>
          <w:b w:val="false"/>
          <w:i w:val="false"/>
          <w:color w:val="000000"/>
          <w:sz w:val="28"/>
        </w:rPr>
        <w:t xml:space="preserve">2-қосымшада </w:t>
      </w:r>
      <w:r>
        <w:rPr>
          <w:rFonts w:ascii="Times New Roman"/>
          <w:b w:val="false"/>
          <w:i w:val="false"/>
          <w:color w:val="000000"/>
          <w:sz w:val="28"/>
        </w:rPr>
        <w:t xml:space="preserve">келтірілген. АлЛТ артқан жағдайда донор қан тапсырудан 3 айға бақылау зерттеулерімен шеттетіледі, ал қайта зерттеу кезінде нормадан арту донорлықтан шеттету үшін негіздеме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Аумақтық денсаулық сақтау органдары мен мемлекеттік эпидемиологиялық қадағалау органдарының шешімдері бойынша өңірдегі эпидемиологиялық жағдайды есепке ала отырып, донорлық қанды бруцеллезге, безгекке және басқаларға қосымша зерттеулер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Қан қызметі ұйымдары аурудың немесе А гепатиті үшін донордың соңғы 3 айдың ішінде вирусты гепатит бойынша және 6 айдың ішінде В және С гепатиттері үшін, сондай-ақ 1 айдың ішінде жұқпалы аурулардың жоқтығы туралы ақпаратқа ие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Донорлық кадрларды толықтыру бөлімшесі мен қан және оның плазмаларын дайындау бөлімшесінде донорларға реакция мен асқынулар туындаған жағдайда шұғыл медициналық көмек көрсету мақсатында көшпелі бригадаларда дәрі-дәрмектер мен жабдықтардың жиынтығы болады. Кез-келген асқынулар кезінде шұғыл медициналық көмек көрсетумен бір уақытта жедел медициналық көмек бригадасын шақырған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Плазмаферез донорларын медициналық тексеру </w:t>
      </w:r>
    </w:p>
    <w:p>
      <w:pPr>
        <w:spacing w:after="0"/>
        <w:ind w:left="0"/>
        <w:jc w:val="both"/>
      </w:pPr>
      <w:r>
        <w:rPr>
          <w:rFonts w:ascii="Times New Roman"/>
          <w:b w:val="false"/>
          <w:i w:val="false"/>
          <w:color w:val="000000"/>
          <w:sz w:val="28"/>
        </w:rPr>
        <w:t xml:space="preserve">      19. Плазмаферез донорларын медициналық тексеру мен донорлық қанды зертханалық зерттеу осы Ереженің 9-16-тармақтарына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Ақылы плазма донорларын алғашқы куәландыру кезінде қосымша мынадай зерттеулер жүзеге асырылады: </w:t>
      </w:r>
      <w:r>
        <w:br/>
      </w:r>
      <w:r>
        <w:rPr>
          <w:rFonts w:ascii="Times New Roman"/>
          <w:b w:val="false"/>
          <w:i w:val="false"/>
          <w:color w:val="000000"/>
          <w:sz w:val="28"/>
        </w:rPr>
        <w:t xml:space="preserve">
      перифериялық қанның құрамы (гемоглобин, эритроциттер, лейкоциттер, тромбоциттер, эритроциттердің (бұдан әрі - ЭШЖ) шөгу жылдамдығы мен лейкоцитарлы нысан); </w:t>
      </w:r>
      <w:r>
        <w:br/>
      </w:r>
      <w:r>
        <w:rPr>
          <w:rFonts w:ascii="Times New Roman"/>
          <w:b w:val="false"/>
          <w:i w:val="false"/>
          <w:color w:val="000000"/>
          <w:sz w:val="28"/>
        </w:rPr>
        <w:t xml:space="preserve">
      гемоглобин мөлшерінің орнына гематокриттің мөлшері анықталуы мүмкін; </w:t>
      </w:r>
      <w:r>
        <w:br/>
      </w:r>
      <w:r>
        <w:rPr>
          <w:rFonts w:ascii="Times New Roman"/>
          <w:b w:val="false"/>
          <w:i w:val="false"/>
          <w:color w:val="000000"/>
          <w:sz w:val="28"/>
        </w:rPr>
        <w:t xml:space="preserve">
      қан сарысуының құрамындағы жалпы белок пен белок фракциясы. </w:t>
      </w:r>
      <w:r>
        <w:br/>
      </w:r>
      <w:r>
        <w:rPr>
          <w:rFonts w:ascii="Times New Roman"/>
          <w:b w:val="false"/>
          <w:i w:val="false"/>
          <w:color w:val="000000"/>
          <w:sz w:val="28"/>
        </w:rPr>
        <w:t xml:space="preserve">
      Көп реттік плазмаферездер процесіндегі плазмаферез донорларын бақылау зерттеулері 4 айда кем дегенде 1 рет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Плазмаферездің әрбір рәсімінде мыналар анықталады: </w:t>
      </w:r>
      <w:r>
        <w:br/>
      </w:r>
      <w:r>
        <w:rPr>
          <w:rFonts w:ascii="Times New Roman"/>
          <w:b w:val="false"/>
          <w:i w:val="false"/>
          <w:color w:val="000000"/>
          <w:sz w:val="28"/>
        </w:rPr>
        <w:t xml:space="preserve">
      гемоглобиннің немесе гематокриттің болуы; </w:t>
      </w:r>
      <w:r>
        <w:br/>
      </w:r>
      <w:r>
        <w:rPr>
          <w:rFonts w:ascii="Times New Roman"/>
          <w:b w:val="false"/>
          <w:i w:val="false"/>
          <w:color w:val="000000"/>
          <w:sz w:val="28"/>
        </w:rPr>
        <w:t xml:space="preserve">
      ЭШЖ; </w:t>
      </w:r>
      <w:r>
        <w:br/>
      </w:r>
      <w:r>
        <w:rPr>
          <w:rFonts w:ascii="Times New Roman"/>
          <w:b w:val="false"/>
          <w:i w:val="false"/>
          <w:color w:val="000000"/>
          <w:sz w:val="28"/>
        </w:rPr>
        <w:t xml:space="preserve">
      қан сарысуында жалпы белоктың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Егер плазмаферез рәсімдерінің арасындағы интервал 3 айдан артық болса, онда донор алғашқы куәландыру кезіндегідей тексеріледі. Донор диспротеинемия кезінде ол донорлықтан 2 айға шеттетіледі. Егер донордың жасы 40-тан асқан болса, онда оған жылына 1 рет электрокардиограмма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Донордан алынған ең көп доза - кем дегенде 800 мл.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Цитаферез донорларын медициналық тексеру </w:t>
      </w:r>
    </w:p>
    <w:p>
      <w:pPr>
        <w:spacing w:after="0"/>
        <w:ind w:left="0"/>
        <w:jc w:val="both"/>
      </w:pPr>
      <w:r>
        <w:rPr>
          <w:rFonts w:ascii="Times New Roman"/>
          <w:b w:val="false"/>
          <w:i w:val="false"/>
          <w:color w:val="000000"/>
          <w:sz w:val="28"/>
        </w:rPr>
        <w:t xml:space="preserve">      24. Цитаферез донорларын медициналық тексеру мен қан донорлығының скринингі осы Ереженің 10-21-тармақтарына сәйкес жүргізіледі. Цитаферездің алдында қан клеткаларының автоматтандырылған сепараторларын пайдаланған кезде қанның ұю уақыты белгіленуі тиіс. Қайталанған тромбоцитаферездің алдында донорларды тексеру гемоглобиннің мөлшерін, тромбоциттердің санын анықтауды қамтиды. Цитаферез қан сеператорына қоса беріліп отырған полимерлі контейнерлерге үзілісті тромбоцитаферез әдістерімен және нұсқаулықтармен бір донордан тромбоциттерді дайындау жөніндегі ережеге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Рәсімдердің әртүрлі түрлерінің арасындағы рұқсат етілген интервалдар осы ережеге 2-қосымшада ұсынылған.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Иммундық донорларды медициналық тексеру </w:t>
      </w:r>
    </w:p>
    <w:p>
      <w:pPr>
        <w:spacing w:after="0"/>
        <w:ind w:left="0"/>
        <w:jc w:val="both"/>
      </w:pPr>
      <w:r>
        <w:rPr>
          <w:rFonts w:ascii="Times New Roman"/>
          <w:b w:val="false"/>
          <w:i w:val="false"/>
          <w:color w:val="000000"/>
          <w:sz w:val="28"/>
        </w:rPr>
        <w:t xml:space="preserve">      26. Иммундық қан донорларын, плазмаферез донорларын медициналық тексеру мен зертханалық тексеру осы Ереженің 12-23-тармақтарына сәйкес жүргізіледі. Иммундық донорлыққа қанында тиісті скрининг нәтижесінде иммундық антиденелер анықталған адамдарды тартқан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Резус және стафилококтық анатоксиндер жүйесін антигендермен иммундауға 18 жастан 50 жасқа дейінгі ерлерге, менепауза кезеңіндегі немесе бала тууға қабілеттілігін жоғалтқан жасырақ әйелдерге рұқсат беріледі (құжатпен расталған). Жүктіліктің нәтижесінде сенсибилизацияланған әйелдерді иммундық донорлыққа тарту мақсатқа сай.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Бағытталған іс-қимылдың иммундық препараттарын алу мақсатында донорларды басқа антигендермен белсенді иммундау кезінде тек Қазақстан Республикасында медициналық практикада қолдануға рұқсат етілген вакциналар, анатоксиндер мен эритроциттер антигендерін пайдаланған және тиісті нұсқаулықтардың ережелерін басшылыққа алған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Қан мен оның компоненттерінің </w:t>
      </w:r>
      <w:r>
        <w:br/>
      </w:r>
      <w:r>
        <w:rPr>
          <w:rFonts w:ascii="Times New Roman"/>
          <w:b w:val="false"/>
          <w:i w:val="false"/>
          <w:color w:val="000000"/>
          <w:sz w:val="28"/>
        </w:rPr>
        <w:t>
</w:t>
      </w:r>
      <w:r>
        <w:rPr>
          <w:rFonts w:ascii="Times New Roman"/>
          <w:b/>
          <w:i w:val="false"/>
          <w:color w:val="000080"/>
          <w:sz w:val="28"/>
        </w:rPr>
        <w:t xml:space="preserve">донорлығына қарсы айғақтар </w:t>
      </w:r>
    </w:p>
    <w:p>
      <w:pPr>
        <w:spacing w:after="0"/>
        <w:ind w:left="0"/>
        <w:jc w:val="both"/>
      </w:pPr>
      <w:r>
        <w:rPr>
          <w:rFonts w:ascii="Times New Roman"/>
          <w:b w:val="false"/>
          <w:i w:val="false"/>
          <w:color w:val="000000"/>
          <w:sz w:val="28"/>
        </w:rPr>
        <w:t xml:space="preserve">      29. Донорлыққа абсолюттік қарсы айғақтар: </w:t>
      </w:r>
      <w:r>
        <w:br/>
      </w:r>
      <w:r>
        <w:rPr>
          <w:rFonts w:ascii="Times New Roman"/>
          <w:b w:val="false"/>
          <w:i w:val="false"/>
          <w:color w:val="000000"/>
          <w:sz w:val="28"/>
        </w:rPr>
        <w:t xml:space="preserve">
      1) Жұқпалы аурулар: </w:t>
      </w:r>
      <w:r>
        <w:br/>
      </w:r>
      <w:r>
        <w:rPr>
          <w:rFonts w:ascii="Times New Roman"/>
          <w:b w:val="false"/>
          <w:i w:val="false"/>
          <w:color w:val="000000"/>
          <w:sz w:val="28"/>
        </w:rPr>
        <w:t xml:space="preserve">
      ЖҚТБ, АҚТҚ тасымалдаушылық - жұқпалар мен қауіп тобына (гомосексуалистер, жезөкшелер, нашақорлар) жататын адамдар; </w:t>
      </w:r>
      <w:r>
        <w:br/>
      </w:r>
      <w:r>
        <w:rPr>
          <w:rFonts w:ascii="Times New Roman"/>
          <w:b w:val="false"/>
          <w:i w:val="false"/>
          <w:color w:val="000000"/>
          <w:sz w:val="28"/>
        </w:rPr>
        <w:t xml:space="preserve">
      вирустық гепатиттер, вирустық гепатиттердің (HbsAg, антидененің анти-HCV) маркерлеріне зерттеудің оң нәтижесі; </w:t>
      </w:r>
      <w:r>
        <w:br/>
      </w:r>
      <w:r>
        <w:rPr>
          <w:rFonts w:ascii="Times New Roman"/>
          <w:b w:val="false"/>
          <w:i w:val="false"/>
          <w:color w:val="000000"/>
          <w:sz w:val="28"/>
        </w:rPr>
        <w:t xml:space="preserve">
      СРК оң нәтижелері кезінде туа біткен немесе жүре пайда болған мерез; </w:t>
      </w:r>
      <w:r>
        <w:br/>
      </w:r>
      <w:r>
        <w:rPr>
          <w:rFonts w:ascii="Times New Roman"/>
          <w:b w:val="false"/>
          <w:i w:val="false"/>
          <w:color w:val="000000"/>
          <w:sz w:val="28"/>
        </w:rPr>
        <w:t xml:space="preserve">
      туберкулез (барлық нысандар); </w:t>
      </w:r>
      <w:r>
        <w:br/>
      </w:r>
      <w:r>
        <w:rPr>
          <w:rFonts w:ascii="Times New Roman"/>
          <w:b w:val="false"/>
          <w:i w:val="false"/>
          <w:color w:val="000000"/>
          <w:sz w:val="28"/>
        </w:rPr>
        <w:t xml:space="preserve">
      бурцеллез; бөртпе тиф; лепра туляремиясы; </w:t>
      </w:r>
      <w:r>
        <w:br/>
      </w:r>
      <w:r>
        <w:rPr>
          <w:rFonts w:ascii="Times New Roman"/>
          <w:b w:val="false"/>
          <w:i w:val="false"/>
          <w:color w:val="000000"/>
          <w:sz w:val="28"/>
        </w:rPr>
        <w:t xml:space="preserve">
      2) Паразиттік аурулар: </w:t>
      </w:r>
      <w:r>
        <w:br/>
      </w:r>
      <w:r>
        <w:rPr>
          <w:rFonts w:ascii="Times New Roman"/>
          <w:b w:val="false"/>
          <w:i w:val="false"/>
          <w:color w:val="000000"/>
          <w:sz w:val="28"/>
        </w:rPr>
        <w:t xml:space="preserve">
      эхинококкоз, токсоплазмоз, трипаносомоз, филяриатоз, ришта, лейшманиоз; </w:t>
      </w:r>
      <w:r>
        <w:br/>
      </w:r>
      <w:r>
        <w:rPr>
          <w:rFonts w:ascii="Times New Roman"/>
          <w:b w:val="false"/>
          <w:i w:val="false"/>
          <w:color w:val="000000"/>
          <w:sz w:val="28"/>
        </w:rPr>
        <w:t xml:space="preserve">
      Крайтцфельдт-Якоб ауруы; </w:t>
      </w:r>
      <w:r>
        <w:br/>
      </w:r>
      <w:r>
        <w:rPr>
          <w:rFonts w:ascii="Times New Roman"/>
          <w:b w:val="false"/>
          <w:i w:val="false"/>
          <w:color w:val="000000"/>
          <w:sz w:val="28"/>
        </w:rPr>
        <w:t xml:space="preserve">
      Герстман-Страусслер-Шайнкер синдромы; </w:t>
      </w:r>
      <w:r>
        <w:br/>
      </w:r>
      <w:r>
        <w:rPr>
          <w:rFonts w:ascii="Times New Roman"/>
          <w:b w:val="false"/>
          <w:i w:val="false"/>
          <w:color w:val="000000"/>
          <w:sz w:val="28"/>
        </w:rPr>
        <w:t xml:space="preserve">
      3) Жүрек-қан тамыры аурулары: </w:t>
      </w:r>
      <w:r>
        <w:br/>
      </w:r>
      <w:r>
        <w:rPr>
          <w:rFonts w:ascii="Times New Roman"/>
          <w:b w:val="false"/>
          <w:i w:val="false"/>
          <w:color w:val="000000"/>
          <w:sz w:val="28"/>
        </w:rPr>
        <w:t xml:space="preserve">
      ІІб-ІІІ дәрежелі гипертониялық аурулар; </w:t>
      </w:r>
      <w:r>
        <w:br/>
      </w:r>
      <w:r>
        <w:rPr>
          <w:rFonts w:ascii="Times New Roman"/>
          <w:b w:val="false"/>
          <w:i w:val="false"/>
          <w:color w:val="000000"/>
          <w:sz w:val="28"/>
        </w:rPr>
        <w:t xml:space="preserve">
      жүректің ишемиялық ауруы; </w:t>
      </w:r>
      <w:r>
        <w:br/>
      </w:r>
      <w:r>
        <w:rPr>
          <w:rFonts w:ascii="Times New Roman"/>
          <w:b w:val="false"/>
          <w:i w:val="false"/>
          <w:color w:val="000000"/>
          <w:sz w:val="28"/>
        </w:rPr>
        <w:t xml:space="preserve">
      айқын атеросклероз; </w:t>
      </w:r>
      <w:r>
        <w:br/>
      </w:r>
      <w:r>
        <w:rPr>
          <w:rFonts w:ascii="Times New Roman"/>
          <w:b w:val="false"/>
          <w:i w:val="false"/>
          <w:color w:val="000000"/>
          <w:sz w:val="28"/>
        </w:rPr>
        <w:t xml:space="preserve">
      бітелген эндартериит; </w:t>
      </w:r>
      <w:r>
        <w:br/>
      </w:r>
      <w:r>
        <w:rPr>
          <w:rFonts w:ascii="Times New Roman"/>
          <w:b w:val="false"/>
          <w:i w:val="false"/>
          <w:color w:val="000000"/>
          <w:sz w:val="28"/>
        </w:rPr>
        <w:t xml:space="preserve">
      тән емес аортоартериит; </w:t>
      </w:r>
      <w:r>
        <w:br/>
      </w:r>
      <w:r>
        <w:rPr>
          <w:rFonts w:ascii="Times New Roman"/>
          <w:b w:val="false"/>
          <w:i w:val="false"/>
          <w:color w:val="000000"/>
          <w:sz w:val="28"/>
        </w:rPr>
        <w:t xml:space="preserve">
      қайталанған тромбофлебит; </w:t>
      </w:r>
      <w:r>
        <w:br/>
      </w:r>
      <w:r>
        <w:rPr>
          <w:rFonts w:ascii="Times New Roman"/>
          <w:b w:val="false"/>
          <w:i w:val="false"/>
          <w:color w:val="000000"/>
          <w:sz w:val="28"/>
        </w:rPr>
        <w:t xml:space="preserve">
      эндокардиттер; </w:t>
      </w:r>
      <w:r>
        <w:br/>
      </w:r>
      <w:r>
        <w:rPr>
          <w:rFonts w:ascii="Times New Roman"/>
          <w:b w:val="false"/>
          <w:i w:val="false"/>
          <w:color w:val="000000"/>
          <w:sz w:val="28"/>
        </w:rPr>
        <w:t xml:space="preserve">
      миокардиттер; </w:t>
      </w:r>
      <w:r>
        <w:br/>
      </w:r>
      <w:r>
        <w:rPr>
          <w:rFonts w:ascii="Times New Roman"/>
          <w:b w:val="false"/>
          <w:i w:val="false"/>
          <w:color w:val="000000"/>
          <w:sz w:val="28"/>
        </w:rPr>
        <w:t xml:space="preserve">
      жүрек кемістігі (туа біткен және жүре пайда болған); </w:t>
      </w:r>
      <w:r>
        <w:br/>
      </w:r>
      <w:r>
        <w:rPr>
          <w:rFonts w:ascii="Times New Roman"/>
          <w:b w:val="false"/>
          <w:i w:val="false"/>
          <w:color w:val="000000"/>
          <w:sz w:val="28"/>
        </w:rPr>
        <w:t xml:space="preserve">
      4) тыныс алу органдарының аурулары: </w:t>
      </w:r>
      <w:r>
        <w:br/>
      </w:r>
      <w:r>
        <w:rPr>
          <w:rFonts w:ascii="Times New Roman"/>
          <w:b w:val="false"/>
          <w:i w:val="false"/>
          <w:color w:val="000000"/>
          <w:sz w:val="28"/>
        </w:rPr>
        <w:t xml:space="preserve">
      бронхтық демікпе; </w:t>
      </w:r>
      <w:r>
        <w:br/>
      </w:r>
      <w:r>
        <w:rPr>
          <w:rFonts w:ascii="Times New Roman"/>
          <w:b w:val="false"/>
          <w:i w:val="false"/>
          <w:color w:val="000000"/>
          <w:sz w:val="28"/>
        </w:rPr>
        <w:t xml:space="preserve">
      бронхоэктатикалық ауру; </w:t>
      </w:r>
      <w:r>
        <w:br/>
      </w:r>
      <w:r>
        <w:rPr>
          <w:rFonts w:ascii="Times New Roman"/>
          <w:b w:val="false"/>
          <w:i w:val="false"/>
          <w:color w:val="000000"/>
          <w:sz w:val="28"/>
        </w:rPr>
        <w:t xml:space="preserve">
      өкпе эмфиземасы; </w:t>
      </w:r>
      <w:r>
        <w:br/>
      </w:r>
      <w:r>
        <w:rPr>
          <w:rFonts w:ascii="Times New Roman"/>
          <w:b w:val="false"/>
          <w:i w:val="false"/>
          <w:color w:val="000000"/>
          <w:sz w:val="28"/>
        </w:rPr>
        <w:t xml:space="preserve">
      обструктивтік бронхит; </w:t>
      </w:r>
      <w:r>
        <w:br/>
      </w:r>
      <w:r>
        <w:rPr>
          <w:rFonts w:ascii="Times New Roman"/>
          <w:b w:val="false"/>
          <w:i w:val="false"/>
          <w:color w:val="000000"/>
          <w:sz w:val="28"/>
        </w:rPr>
        <w:t xml:space="preserve">
      декомпенсация сатысындағы диффузиялық пневмосклероз; </w:t>
      </w:r>
      <w:r>
        <w:br/>
      </w:r>
      <w:r>
        <w:rPr>
          <w:rFonts w:ascii="Times New Roman"/>
          <w:b w:val="false"/>
          <w:i w:val="false"/>
          <w:color w:val="000000"/>
          <w:sz w:val="28"/>
        </w:rPr>
        <w:t xml:space="preserve">
      5) Ас қорыту органдарының аурулары: </w:t>
      </w:r>
      <w:r>
        <w:br/>
      </w:r>
      <w:r>
        <w:rPr>
          <w:rFonts w:ascii="Times New Roman"/>
          <w:b w:val="false"/>
          <w:i w:val="false"/>
          <w:color w:val="000000"/>
          <w:sz w:val="28"/>
        </w:rPr>
        <w:t xml:space="preserve">
      асқыну сатысындағы асқазан мен ұлтабардың ойы жарасы; </w:t>
      </w:r>
      <w:r>
        <w:br/>
      </w:r>
      <w:r>
        <w:rPr>
          <w:rFonts w:ascii="Times New Roman"/>
          <w:b w:val="false"/>
          <w:i w:val="false"/>
          <w:color w:val="000000"/>
          <w:sz w:val="28"/>
        </w:rPr>
        <w:t xml:space="preserve">
      сөлсіз гастрит; </w:t>
      </w:r>
      <w:r>
        <w:br/>
      </w:r>
      <w:r>
        <w:rPr>
          <w:rFonts w:ascii="Times New Roman"/>
          <w:b w:val="false"/>
          <w:i w:val="false"/>
          <w:color w:val="000000"/>
          <w:sz w:val="28"/>
        </w:rPr>
        <w:t xml:space="preserve">
      6) Бауыр және өт жолдары аурулары: </w:t>
      </w:r>
      <w:r>
        <w:br/>
      </w:r>
      <w:r>
        <w:rPr>
          <w:rFonts w:ascii="Times New Roman"/>
          <w:b w:val="false"/>
          <w:i w:val="false"/>
          <w:color w:val="000000"/>
          <w:sz w:val="28"/>
        </w:rPr>
        <w:t xml:space="preserve">
      бауырдың созылмалы аурулары, оның ішінде уытты табиғаттың және түсініксіз этиологияның; </w:t>
      </w:r>
      <w:r>
        <w:br/>
      </w:r>
      <w:r>
        <w:rPr>
          <w:rFonts w:ascii="Times New Roman"/>
          <w:b w:val="false"/>
          <w:i w:val="false"/>
          <w:color w:val="000000"/>
          <w:sz w:val="28"/>
        </w:rPr>
        <w:t xml:space="preserve">
      калькулезді холецистит, жіті және созылмалы холангит; </w:t>
      </w:r>
      <w:r>
        <w:br/>
      </w:r>
      <w:r>
        <w:rPr>
          <w:rFonts w:ascii="Times New Roman"/>
          <w:b w:val="false"/>
          <w:i w:val="false"/>
          <w:color w:val="000000"/>
          <w:sz w:val="28"/>
        </w:rPr>
        <w:t xml:space="preserve">
      7) бүйрек жетіспеушілігі құбылысы бар бүйрек және несеп бөлу жолдары аурулары; </w:t>
      </w:r>
      <w:r>
        <w:br/>
      </w:r>
      <w:r>
        <w:rPr>
          <w:rFonts w:ascii="Times New Roman"/>
          <w:b w:val="false"/>
          <w:i w:val="false"/>
          <w:color w:val="000000"/>
          <w:sz w:val="28"/>
        </w:rPr>
        <w:t xml:space="preserve">
      несеп-тас ауруы; </w:t>
      </w:r>
      <w:r>
        <w:br/>
      </w:r>
      <w:r>
        <w:rPr>
          <w:rFonts w:ascii="Times New Roman"/>
          <w:b w:val="false"/>
          <w:i w:val="false"/>
          <w:color w:val="000000"/>
          <w:sz w:val="28"/>
        </w:rPr>
        <w:t xml:space="preserve">
      8) қосылыс тіндердің диффуздық аурулары; </w:t>
      </w:r>
      <w:r>
        <w:br/>
      </w:r>
      <w:r>
        <w:rPr>
          <w:rFonts w:ascii="Times New Roman"/>
          <w:b w:val="false"/>
          <w:i w:val="false"/>
          <w:color w:val="000000"/>
          <w:sz w:val="28"/>
        </w:rPr>
        <w:t xml:space="preserve">
      9) Сәулелік ауру; </w:t>
      </w:r>
      <w:r>
        <w:br/>
      </w:r>
      <w:r>
        <w:rPr>
          <w:rFonts w:ascii="Times New Roman"/>
          <w:b w:val="false"/>
          <w:i w:val="false"/>
          <w:color w:val="000000"/>
          <w:sz w:val="28"/>
        </w:rPr>
        <w:t xml:space="preserve">
      10) Функция мен зат алмасудың айқын бұзылулары бар эндокриндік жүйе аурулары; </w:t>
      </w:r>
      <w:r>
        <w:br/>
      </w:r>
      <w:r>
        <w:rPr>
          <w:rFonts w:ascii="Times New Roman"/>
          <w:b w:val="false"/>
          <w:i w:val="false"/>
          <w:color w:val="000000"/>
          <w:sz w:val="28"/>
        </w:rPr>
        <w:t xml:space="preserve">
      11) Көру органдарының аурулары: </w:t>
      </w:r>
      <w:r>
        <w:br/>
      </w:r>
      <w:r>
        <w:rPr>
          <w:rFonts w:ascii="Times New Roman"/>
          <w:b w:val="false"/>
          <w:i w:val="false"/>
          <w:color w:val="000000"/>
          <w:sz w:val="28"/>
        </w:rPr>
        <w:t xml:space="preserve">
      жоғары сатыдағы миопатия (6 дипторий және одан да көп); </w:t>
      </w:r>
      <w:r>
        <w:br/>
      </w:r>
      <w:r>
        <w:rPr>
          <w:rFonts w:ascii="Times New Roman"/>
          <w:b w:val="false"/>
          <w:i w:val="false"/>
          <w:color w:val="000000"/>
          <w:sz w:val="28"/>
        </w:rPr>
        <w:t xml:space="preserve">
      трахома; </w:t>
      </w:r>
      <w:r>
        <w:br/>
      </w:r>
      <w:r>
        <w:rPr>
          <w:rFonts w:ascii="Times New Roman"/>
          <w:b w:val="false"/>
          <w:i w:val="false"/>
          <w:color w:val="000000"/>
          <w:sz w:val="28"/>
        </w:rPr>
        <w:t xml:space="preserve">
      12) Тері аурулары: </w:t>
      </w:r>
      <w:r>
        <w:br/>
      </w:r>
      <w:r>
        <w:rPr>
          <w:rFonts w:ascii="Times New Roman"/>
          <w:b w:val="false"/>
          <w:i w:val="false"/>
          <w:color w:val="000000"/>
          <w:sz w:val="28"/>
        </w:rPr>
        <w:t xml:space="preserve">
      жайылған псориаз; </w:t>
      </w:r>
      <w:r>
        <w:br/>
      </w:r>
      <w:r>
        <w:rPr>
          <w:rFonts w:ascii="Times New Roman"/>
          <w:b w:val="false"/>
          <w:i w:val="false"/>
          <w:color w:val="000000"/>
          <w:sz w:val="28"/>
        </w:rPr>
        <w:t xml:space="preserve">
      эритродермия; </w:t>
      </w:r>
      <w:r>
        <w:br/>
      </w:r>
      <w:r>
        <w:rPr>
          <w:rFonts w:ascii="Times New Roman"/>
          <w:b w:val="false"/>
          <w:i w:val="false"/>
          <w:color w:val="000000"/>
          <w:sz w:val="28"/>
        </w:rPr>
        <w:t xml:space="preserve">
      экзема; </w:t>
      </w:r>
      <w:r>
        <w:br/>
      </w:r>
      <w:r>
        <w:rPr>
          <w:rFonts w:ascii="Times New Roman"/>
          <w:b w:val="false"/>
          <w:i w:val="false"/>
          <w:color w:val="000000"/>
          <w:sz w:val="28"/>
        </w:rPr>
        <w:t xml:space="preserve">
      пиодермия, сикоз; </w:t>
      </w:r>
      <w:r>
        <w:br/>
      </w:r>
      <w:r>
        <w:rPr>
          <w:rFonts w:ascii="Times New Roman"/>
          <w:b w:val="false"/>
          <w:i w:val="false"/>
          <w:color w:val="000000"/>
          <w:sz w:val="28"/>
        </w:rPr>
        <w:t xml:space="preserve">
      дискоидты қызыл жегі; </w:t>
      </w:r>
      <w:r>
        <w:br/>
      </w:r>
      <w:r>
        <w:rPr>
          <w:rFonts w:ascii="Times New Roman"/>
          <w:b w:val="false"/>
          <w:i w:val="false"/>
          <w:color w:val="000000"/>
          <w:sz w:val="28"/>
        </w:rPr>
        <w:t xml:space="preserve">
      күлдіреуік дерматиттер; </w:t>
      </w:r>
      <w:r>
        <w:br/>
      </w:r>
      <w:r>
        <w:rPr>
          <w:rFonts w:ascii="Times New Roman"/>
          <w:b w:val="false"/>
          <w:i w:val="false"/>
          <w:color w:val="000000"/>
          <w:sz w:val="28"/>
        </w:rPr>
        <w:t xml:space="preserve">
      тері (микроспория, трихофития, фавус, эпидермофития) мен ішкі органдардың (терең микоздар) саңырауқұлақты зақымдануы; </w:t>
      </w:r>
      <w:r>
        <w:br/>
      </w:r>
      <w:r>
        <w:rPr>
          <w:rFonts w:ascii="Times New Roman"/>
          <w:b w:val="false"/>
          <w:i w:val="false"/>
          <w:color w:val="000000"/>
          <w:sz w:val="28"/>
        </w:rPr>
        <w:t xml:space="preserve">
      терінің іріңді аурулары (пиодермия, фурункулез, сикоз); </w:t>
      </w:r>
      <w:r>
        <w:br/>
      </w:r>
      <w:r>
        <w:rPr>
          <w:rFonts w:ascii="Times New Roman"/>
          <w:b w:val="false"/>
          <w:i w:val="false"/>
          <w:color w:val="000000"/>
          <w:sz w:val="28"/>
        </w:rPr>
        <w:t xml:space="preserve">
      13) жіті және созылмалы остеомиелит; </w:t>
      </w:r>
      <w:r>
        <w:br/>
      </w:r>
      <w:r>
        <w:rPr>
          <w:rFonts w:ascii="Times New Roman"/>
          <w:b w:val="false"/>
          <w:i w:val="false"/>
          <w:color w:val="000000"/>
          <w:sz w:val="28"/>
        </w:rPr>
        <w:t xml:space="preserve">
      14) бастан өткерген қандай да бір органды алып тастау, мөлдір қабық қондыру операциялары; </w:t>
      </w:r>
      <w:r>
        <w:br/>
      </w:r>
      <w:r>
        <w:rPr>
          <w:rFonts w:ascii="Times New Roman"/>
          <w:b w:val="false"/>
          <w:i w:val="false"/>
          <w:color w:val="000000"/>
          <w:sz w:val="28"/>
        </w:rPr>
        <w:t xml:space="preserve">
      15) қатерлі ісіктер мен қан аурулары; </w:t>
      </w:r>
      <w:r>
        <w:br/>
      </w:r>
      <w:r>
        <w:rPr>
          <w:rFonts w:ascii="Times New Roman"/>
          <w:b w:val="false"/>
          <w:i w:val="false"/>
          <w:color w:val="000000"/>
          <w:sz w:val="28"/>
        </w:rPr>
        <w:t xml:space="preserve">
      16) орталық жүйке жүйесінің органикалық аурулары; </w:t>
      </w:r>
      <w:r>
        <w:br/>
      </w:r>
      <w:r>
        <w:rPr>
          <w:rFonts w:ascii="Times New Roman"/>
          <w:b w:val="false"/>
          <w:i w:val="false"/>
          <w:color w:val="000000"/>
          <w:sz w:val="28"/>
        </w:rPr>
        <w:t xml:space="preserve">
      17) саңырау; </w:t>
      </w:r>
      <w:r>
        <w:br/>
      </w:r>
      <w:r>
        <w:rPr>
          <w:rFonts w:ascii="Times New Roman"/>
          <w:b w:val="false"/>
          <w:i w:val="false"/>
          <w:color w:val="000000"/>
          <w:sz w:val="28"/>
        </w:rPr>
        <w:t xml:space="preserve">
      18) психикалық аурулар; </w:t>
      </w:r>
      <w:r>
        <w:br/>
      </w:r>
      <w:r>
        <w:rPr>
          <w:rFonts w:ascii="Times New Roman"/>
          <w:b w:val="false"/>
          <w:i w:val="false"/>
          <w:color w:val="000000"/>
          <w:sz w:val="28"/>
        </w:rPr>
        <w:t xml:space="preserve">
      19) нашақорлық, маскүнемдік, уытқұмарлық.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Уақытша қарсы айғақтарға мыналар жатады: </w:t>
      </w:r>
      <w:r>
        <w:br/>
      </w:r>
      <w:r>
        <w:rPr>
          <w:rFonts w:ascii="Times New Roman"/>
          <w:b w:val="false"/>
          <w:i w:val="false"/>
          <w:color w:val="000000"/>
          <w:sz w:val="28"/>
        </w:rPr>
        <w:t xml:space="preserve">
      1) зақымданудың қауіп тобы: гемотрансмиссивті аурулар - қан, оның компоненттерінің, препараттардың трансфузиясы (шығару күйіктен сауыққан адамдар мен резус-факторға иммундалған адамдардан тұрады), 6 айға донорлықтан шеттетіледі; </w:t>
      </w:r>
      <w:r>
        <w:br/>
      </w:r>
      <w:r>
        <w:rPr>
          <w:rFonts w:ascii="Times New Roman"/>
          <w:b w:val="false"/>
          <w:i w:val="false"/>
          <w:color w:val="000000"/>
          <w:sz w:val="28"/>
        </w:rPr>
        <w:t xml:space="preserve">
      2) операциялар, оның ішінде жасанды түсіктер (жүргізілген емдеу ұйымдарынан операцияның сипаты мен күні туралы анықтаманы ұсыну қажет), операциядан кейін 6 айға донорлықтан шеттетіледі; </w:t>
      </w:r>
      <w:r>
        <w:br/>
      </w:r>
      <w:r>
        <w:rPr>
          <w:rFonts w:ascii="Times New Roman"/>
          <w:b w:val="false"/>
          <w:i w:val="false"/>
          <w:color w:val="000000"/>
          <w:sz w:val="28"/>
        </w:rPr>
        <w:t xml:space="preserve">
      3) татуировка салу немесе ине шаншу арқылы емдеу, ем-шара аяқталған сәттен бастап 6 айға донорлықтан шеттетіледі; </w:t>
      </w:r>
      <w:r>
        <w:br/>
      </w:r>
      <w:r>
        <w:rPr>
          <w:rFonts w:ascii="Times New Roman"/>
          <w:b w:val="false"/>
          <w:i w:val="false"/>
          <w:color w:val="000000"/>
          <w:sz w:val="28"/>
        </w:rPr>
        <w:t xml:space="preserve">
      4) Қазақстан Республикасынан тыс ұзақтығы 2 айдан аса ісспарда болу, бұл ретте 6 айға донорлықтан шеттетіледі; </w:t>
      </w:r>
      <w:r>
        <w:br/>
      </w:r>
      <w:r>
        <w:rPr>
          <w:rFonts w:ascii="Times New Roman"/>
          <w:b w:val="false"/>
          <w:i w:val="false"/>
          <w:color w:val="000000"/>
          <w:sz w:val="28"/>
        </w:rPr>
        <w:t xml:space="preserve">
      5) безгек бойынша тропикалық және субтропикалық климатты эндемиялық елдерде (Азия, Африка, Оңтүстік және Орталық Америка) болу, 3 жылға донорлықтан шеттетіледі; </w:t>
      </w:r>
      <w:r>
        <w:br/>
      </w:r>
      <w:r>
        <w:rPr>
          <w:rFonts w:ascii="Times New Roman"/>
          <w:b w:val="false"/>
          <w:i w:val="false"/>
          <w:color w:val="000000"/>
          <w:sz w:val="28"/>
        </w:rPr>
        <w:t xml:space="preserve">
      6) гепатитпен ауыратын адамдармен байланыс: А гепатиті, 3 жылға донорлықтан алынады; В, С гепатиті. Бұл ретте 6 айға донорлықтан шеттетіледі; </w:t>
      </w:r>
      <w:r>
        <w:br/>
      </w:r>
      <w:r>
        <w:rPr>
          <w:rFonts w:ascii="Times New Roman"/>
          <w:b w:val="false"/>
          <w:i w:val="false"/>
          <w:color w:val="000000"/>
          <w:sz w:val="28"/>
        </w:rPr>
        <w:t xml:space="preserve">
      7) "Абсолюттік қарсы айғақтар" бөлімінде көрсетілмеген жұқпалы аурулар; </w:t>
      </w:r>
      <w:r>
        <w:br/>
      </w:r>
      <w:r>
        <w:rPr>
          <w:rFonts w:ascii="Times New Roman"/>
          <w:b w:val="false"/>
          <w:i w:val="false"/>
          <w:color w:val="000000"/>
          <w:sz w:val="28"/>
        </w:rPr>
        <w:t xml:space="preserve">
      8) ұстамалары жоқ безгек. Бұл ретте соңғы ұстамадан кейін кем дегенде 3 жыл донорлықтан шеттетіледі; </w:t>
      </w:r>
      <w:r>
        <w:br/>
      </w:r>
      <w:r>
        <w:rPr>
          <w:rFonts w:ascii="Times New Roman"/>
          <w:b w:val="false"/>
          <w:i w:val="false"/>
          <w:color w:val="000000"/>
          <w:sz w:val="28"/>
        </w:rPr>
        <w:t xml:space="preserve">
      9) сауыққаннан кейін және айқын функциялық бұзылулары болмаған жағдайда толық клиникалық тексеруден кейінгі іш сүзегі. Бұл ретте донорлықтан 1 жылға донорлықтан шеттетіледі; </w:t>
      </w:r>
      <w:r>
        <w:br/>
      </w:r>
      <w:r>
        <w:rPr>
          <w:rFonts w:ascii="Times New Roman"/>
          <w:b w:val="false"/>
          <w:i w:val="false"/>
          <w:color w:val="000000"/>
          <w:sz w:val="28"/>
        </w:rPr>
        <w:t xml:space="preserve">
      10) Сауыққаннан кейінгі ангина, тұмау, ЖРВЖ. Бұл ретте 1 айға донорлықтан шеттетіледі; </w:t>
      </w:r>
      <w:r>
        <w:br/>
      </w:r>
      <w:r>
        <w:rPr>
          <w:rFonts w:ascii="Times New Roman"/>
          <w:b w:val="false"/>
          <w:i w:val="false"/>
          <w:color w:val="000000"/>
          <w:sz w:val="28"/>
        </w:rPr>
        <w:t xml:space="preserve">
      11) сауыққаннан кейін өзге де жұқпалы аурулар. Бұл ретте 6 айға донорлықтан шеттетіледі; </w:t>
      </w:r>
      <w:r>
        <w:br/>
      </w:r>
      <w:r>
        <w:rPr>
          <w:rFonts w:ascii="Times New Roman"/>
          <w:b w:val="false"/>
          <w:i w:val="false"/>
          <w:color w:val="000000"/>
          <w:sz w:val="28"/>
        </w:rPr>
        <w:t xml:space="preserve">
      12) тістің экстракциясы. Бұл ретте 10 айға донорлықтан алынады; </w:t>
      </w:r>
      <w:r>
        <w:br/>
      </w:r>
      <w:r>
        <w:rPr>
          <w:rFonts w:ascii="Times New Roman"/>
          <w:b w:val="false"/>
          <w:i w:val="false"/>
          <w:color w:val="000000"/>
          <w:sz w:val="28"/>
        </w:rPr>
        <w:t xml:space="preserve">
      13) жүктілік, лактация кезеңінде. Бұл ретте босанғаннан кейін кем дегенде 1 жылға донорлықтан шеттетіледі; </w:t>
      </w:r>
      <w:r>
        <w:br/>
      </w:r>
      <w:r>
        <w:rPr>
          <w:rFonts w:ascii="Times New Roman"/>
          <w:b w:val="false"/>
          <w:i w:val="false"/>
          <w:color w:val="000000"/>
          <w:sz w:val="28"/>
        </w:rPr>
        <w:t xml:space="preserve">
      14) лактация аяқталғаннан кейін. Бұл ретте лактация аяқталғаннан кейін кем дегенде 3 айға донорлықтан шеттетіледі; </w:t>
      </w:r>
      <w:r>
        <w:br/>
      </w:r>
      <w:r>
        <w:rPr>
          <w:rFonts w:ascii="Times New Roman"/>
          <w:b w:val="false"/>
          <w:i w:val="false"/>
          <w:color w:val="000000"/>
          <w:sz w:val="28"/>
        </w:rPr>
        <w:t xml:space="preserve">
      15) етеккір кезеңінде. Бұл ретте аяқталғаннан кейін кем дегенде 5 күн донорлықтан шеттетіледі; </w:t>
      </w:r>
      <w:r>
        <w:br/>
      </w:r>
      <w:r>
        <w:rPr>
          <w:rFonts w:ascii="Times New Roman"/>
          <w:b w:val="false"/>
          <w:i w:val="false"/>
          <w:color w:val="000000"/>
          <w:sz w:val="28"/>
        </w:rPr>
        <w:t xml:space="preserve">
      16) өлген вакциналарды, анатоксиндермен егу (В гепатит, сіреспе, дифтерия, көкжөтел, сүзек және паратиф, тырысқақ, тұмау), 10 күнге донорлықтан шеттетіледі; </w:t>
      </w:r>
      <w:r>
        <w:br/>
      </w:r>
      <w:r>
        <w:rPr>
          <w:rFonts w:ascii="Times New Roman"/>
          <w:b w:val="false"/>
          <w:i w:val="false"/>
          <w:color w:val="000000"/>
          <w:sz w:val="28"/>
        </w:rPr>
        <w:t xml:space="preserve">
      17) тірі вакциналармен (бруцеллез, оба, туляремия, БЦЖ вакцинасы, шешек, қызамық, полиомиелит) егу, сіреспеге қарсы сарысуларды салу (инъекцияның орнында айқын асқыну құбылыстары болмаған жағдайда). Бұл ретте 1 айға донорлықтан шеттетіледі; </w:t>
      </w:r>
      <w:r>
        <w:br/>
      </w:r>
      <w:r>
        <w:rPr>
          <w:rFonts w:ascii="Times New Roman"/>
          <w:b w:val="false"/>
          <w:i w:val="false"/>
          <w:color w:val="000000"/>
          <w:sz w:val="28"/>
        </w:rPr>
        <w:t xml:space="preserve">
      18) В гепатитіне қарсы иммуноглобулинді салу. Бұл ретте 1 жылға донорлықтан босатылады; </w:t>
      </w:r>
      <w:r>
        <w:br/>
      </w:r>
      <w:r>
        <w:rPr>
          <w:rFonts w:ascii="Times New Roman"/>
          <w:b w:val="false"/>
          <w:i w:val="false"/>
          <w:color w:val="000000"/>
          <w:sz w:val="28"/>
        </w:rPr>
        <w:t xml:space="preserve">
      19) құтырмаға қарсы вакцина. Бұл ретте 1 жылға донорлықтан шеттетіледі; </w:t>
      </w:r>
      <w:r>
        <w:br/>
      </w:r>
      <w:r>
        <w:rPr>
          <w:rFonts w:ascii="Times New Roman"/>
          <w:b w:val="false"/>
          <w:i w:val="false"/>
          <w:color w:val="000000"/>
          <w:sz w:val="28"/>
        </w:rPr>
        <w:t xml:space="preserve">
      20) Манту реакциясы инъекцияның орнында айқын асқыну құбылыстары болмаған жағдайда. Бұл ретте екі аптаға донорлықтан шеттетіледі; </w:t>
      </w:r>
      <w:r>
        <w:br/>
      </w:r>
      <w:r>
        <w:rPr>
          <w:rFonts w:ascii="Times New Roman"/>
          <w:b w:val="false"/>
          <w:i w:val="false"/>
          <w:color w:val="000000"/>
          <w:sz w:val="28"/>
        </w:rPr>
        <w:t xml:space="preserve">
      21) Дәрілік препараттарды қабылдау: антибиотиктер. Бұл ретте оларды тоқтатқаннан кейін 2 аптаға донорлықтан шеттетіледі; </w:t>
      </w:r>
      <w:r>
        <w:br/>
      </w:r>
      <w:r>
        <w:rPr>
          <w:rFonts w:ascii="Times New Roman"/>
          <w:b w:val="false"/>
          <w:i w:val="false"/>
          <w:color w:val="000000"/>
          <w:sz w:val="28"/>
        </w:rPr>
        <w:t xml:space="preserve">
      22) Дәрілік препараттарды қабылдау: анальгетиктер мен салициалиттер. Бұл ретте оларды тоқтатқаннан кейін 3 аптаға донорлықтан шеттетіледі.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Донорда осы тізімге кірмейтін аурулар мен симптомдар болған кезде, қажет болған жағдайда тиісті бейін мамандарымен кеңескеннен кейін донорлық туралы мәселені дәрігер терапевт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Донорды медициналық </w:t>
      </w:r>
      <w:r>
        <w:br/>
      </w:r>
      <w:r>
        <w:rPr>
          <w:rFonts w:ascii="Times New Roman"/>
          <w:b w:val="false"/>
          <w:i w:val="false"/>
          <w:color w:val="000000"/>
          <w:sz w:val="28"/>
        </w:rPr>
        <w:t xml:space="preserve">
                                               тексеру ережесiне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Донорлардағы перифериялық қан мен биохимиялық </w:t>
      </w:r>
      <w:r>
        <w:br/>
      </w:r>
      <w:r>
        <w:rPr>
          <w:rFonts w:ascii="Times New Roman"/>
          <w:b w:val="false"/>
          <w:i w:val="false"/>
          <w:color w:val="000000"/>
          <w:sz w:val="28"/>
        </w:rPr>
        <w:t>
</w:t>
      </w:r>
      <w:r>
        <w:rPr>
          <w:rFonts w:ascii="Times New Roman"/>
          <w:b/>
          <w:i w:val="false"/>
          <w:color w:val="000000"/>
          <w:sz w:val="28"/>
        </w:rPr>
        <w:t xml:space="preserve">               көрсеткiштер құрамының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4033"/>
        <w:gridCol w:w="5413"/>
      </w:tblGrid>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Көрсеткiштер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Ауытқу шегi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Зерттеу әдiстерi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Гемоглобин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Ерлер кем дегенде 120 г/л, әйелдер - кем дегенде 110 г/л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Колориметриялық әдiстер, автоматтандырылған талдауыштар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Гематокрит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Ерлер - 0,40-0,48. </w:t>
            </w:r>
            <w:r>
              <w:br/>
            </w:r>
            <w:r>
              <w:rPr>
                <w:rFonts w:ascii="Times New Roman"/>
                <w:b w:val="false"/>
                <w:i w:val="false"/>
                <w:color w:val="000000"/>
                <w:sz w:val="20"/>
              </w:rPr>
              <w:t xml:space="preserve">
әйелдер - 0,36-0,42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Центифугалық әдiстер, автоматтың көмегiмен анықтау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Эритроциттердiң саны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Ерлер - (4,0x5,1)x10 </w:t>
            </w:r>
            <w:r>
              <w:rPr>
                <w:rFonts w:ascii="Times New Roman"/>
                <w:b w:val="false"/>
                <w:i w:val="false"/>
                <w:color w:val="000000"/>
                <w:vertAlign w:val="superscript"/>
              </w:rPr>
              <w:t xml:space="preserve">1 </w:t>
            </w:r>
            <w:r>
              <w:rPr>
                <w:rFonts w:ascii="Times New Roman"/>
                <w:b w:val="false"/>
                <w:i w:val="false"/>
                <w:color w:val="000000"/>
                <w:sz w:val="20"/>
              </w:rPr>
              <w:t xml:space="preserve">/л; </w:t>
            </w:r>
            <w:r>
              <w:br/>
            </w:r>
            <w:r>
              <w:rPr>
                <w:rFonts w:ascii="Times New Roman"/>
                <w:b w:val="false"/>
                <w:i w:val="false"/>
                <w:color w:val="000000"/>
                <w:sz w:val="20"/>
              </w:rPr>
              <w:t xml:space="preserve">
әйелдер - (3,7-4,7)х10/л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Автоматтандырылған есептеуiштегi немесе Горячев камерасындағы есептеу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ЭШЖ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Ерлер 1-10 мм/сағ, </w:t>
            </w:r>
            <w:r>
              <w:br/>
            </w:r>
            <w:r>
              <w:rPr>
                <w:rFonts w:ascii="Times New Roman"/>
                <w:b w:val="false"/>
                <w:i w:val="false"/>
                <w:color w:val="000000"/>
                <w:sz w:val="20"/>
              </w:rPr>
              <w:t xml:space="preserve">
әйелдер - 2-15 мм/сағ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Панченконың микрометоды, автоматтандырылған талдауыш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Тромбоциттердiң саны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(180-320)x10/л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Горячев камерасындағы есептеу, қанның боялған жағынды сындағы есептеу, автоматтандырылған есептеуiштегi есептеу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Лейкоциттердiң саны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(4-9)x10/л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Автоматтандырылған есептеуiштегi немесе Горячев камерасындағы есептеу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Ретикулоциттер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2-10%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Боялған жағындыдағы есептеу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Аланиндiк аминотрансферез (Ал ЛТ)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0,1-0,68 ммоль/сағат-л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Райтманмен Френкельдiң әдiсi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 сарысуының жалпы белогы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65-85% г/л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Биуреттiк әдiс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 сарысуының белоктық фракциялары: </w:t>
            </w:r>
            <w:r>
              <w:br/>
            </w:r>
            <w:r>
              <w:rPr>
                <w:rFonts w:ascii="Times New Roman"/>
                <w:b w:val="false"/>
                <w:i w:val="false"/>
                <w:color w:val="000000"/>
                <w:sz w:val="20"/>
              </w:rPr>
              <w:t xml:space="preserve">
Альбумин </w:t>
            </w:r>
            <w:r>
              <w:br/>
            </w:r>
            <w:r>
              <w:rPr>
                <w:rFonts w:ascii="Times New Roman"/>
                <w:b w:val="false"/>
                <w:i w:val="false"/>
                <w:color w:val="000000"/>
                <w:sz w:val="20"/>
              </w:rPr>
              <w:t xml:space="preserve">
Глобулиндер: </w:t>
            </w:r>
            <w:r>
              <w:br/>
            </w:r>
            <w:r>
              <w:rPr>
                <w:rFonts w:ascii="Times New Roman"/>
                <w:b w:val="false"/>
                <w:i w:val="false"/>
                <w:color w:val="000000"/>
                <w:sz w:val="20"/>
              </w:rPr>
              <w:t xml:space="preserve">
L1-глобулиндер </w:t>
            </w:r>
            <w:r>
              <w:br/>
            </w:r>
            <w:r>
              <w:rPr>
                <w:rFonts w:ascii="Times New Roman"/>
                <w:b w:val="false"/>
                <w:i w:val="false"/>
                <w:color w:val="000000"/>
                <w:sz w:val="20"/>
              </w:rPr>
              <w:t xml:space="preserve">
L2-глобулиндер </w:t>
            </w:r>
            <w:r>
              <w:br/>
            </w:r>
            <w:r>
              <w:rPr>
                <w:rFonts w:ascii="Times New Roman"/>
                <w:b w:val="false"/>
                <w:i w:val="false"/>
                <w:color w:val="000000"/>
                <w:sz w:val="20"/>
              </w:rPr>
              <w:t xml:space="preserve">
В-глобулиндер </w:t>
            </w:r>
            <w:r>
              <w:br/>
            </w:r>
            <w:r>
              <w:rPr>
                <w:rFonts w:ascii="Times New Roman"/>
                <w:b w:val="false"/>
                <w:i w:val="false"/>
                <w:color w:val="000000"/>
                <w:sz w:val="20"/>
              </w:rPr>
              <w:t xml:space="preserve">
Ү-глобулиндер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53,9-62,1% </w:t>
            </w:r>
            <w:r>
              <w:br/>
            </w:r>
            <w:r>
              <w:rPr>
                <w:rFonts w:ascii="Times New Roman"/>
                <w:b w:val="false"/>
                <w:i w:val="false"/>
                <w:color w:val="000000"/>
                <w:sz w:val="20"/>
              </w:rPr>
              <w:t>
 </w:t>
            </w:r>
            <w:r>
              <w:br/>
            </w:r>
            <w:r>
              <w:rPr>
                <w:rFonts w:ascii="Times New Roman"/>
                <w:b w:val="false"/>
                <w:i w:val="false"/>
                <w:color w:val="000000"/>
                <w:sz w:val="20"/>
              </w:rPr>
              <w:t xml:space="preserve">
  2,7-5,1% </w:t>
            </w:r>
            <w:r>
              <w:br/>
            </w:r>
            <w:r>
              <w:rPr>
                <w:rFonts w:ascii="Times New Roman"/>
                <w:b w:val="false"/>
                <w:i w:val="false"/>
                <w:color w:val="000000"/>
                <w:sz w:val="20"/>
              </w:rPr>
              <w:t xml:space="preserve">
7,4-10,2% </w:t>
            </w:r>
            <w:r>
              <w:br/>
            </w:r>
            <w:r>
              <w:rPr>
                <w:rFonts w:ascii="Times New Roman"/>
                <w:b w:val="false"/>
                <w:i w:val="false"/>
                <w:color w:val="000000"/>
                <w:sz w:val="20"/>
              </w:rPr>
              <w:t xml:space="preserve">
11,7-15,3% </w:t>
            </w:r>
            <w:r>
              <w:br/>
            </w:r>
            <w:r>
              <w:rPr>
                <w:rFonts w:ascii="Times New Roman"/>
                <w:b w:val="false"/>
                <w:i w:val="false"/>
                <w:color w:val="000000"/>
                <w:sz w:val="20"/>
              </w:rPr>
              <w:t xml:space="preserve">
15,6-21,4%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50" w:hRule="atLeast"/>
        </w:trPr>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 ұюы уақыты </w:t>
            </w:r>
          </w:p>
        </w:tc>
        <w:tc>
          <w:tcPr>
            <w:tcW w:w="4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3,5-5 мин </w:t>
            </w:r>
          </w:p>
        </w:tc>
        <w:tc>
          <w:tcPr>
            <w:tcW w:w="5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Ли-Уайт әдiсi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Донорды медициналық </w:t>
      </w:r>
      <w:r>
        <w:br/>
      </w:r>
      <w:r>
        <w:rPr>
          <w:rFonts w:ascii="Times New Roman"/>
          <w:b w:val="false"/>
          <w:i w:val="false"/>
          <w:color w:val="000000"/>
          <w:sz w:val="28"/>
        </w:rPr>
        <w:t xml:space="preserve">
                                               тексеру ережесiне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00"/>
          <w:sz w:val="28"/>
        </w:rPr>
        <w:t xml:space="preserve">               Ем-шаралардың әртүрлi түрлерiнiң </w:t>
      </w:r>
      <w:r>
        <w:br/>
      </w:r>
      <w:r>
        <w:rPr>
          <w:rFonts w:ascii="Times New Roman"/>
          <w:b w:val="false"/>
          <w:i w:val="false"/>
          <w:color w:val="000000"/>
          <w:sz w:val="28"/>
        </w:rPr>
        <w:t>
</w:t>
      </w:r>
      <w:r>
        <w:rPr>
          <w:rFonts w:ascii="Times New Roman"/>
          <w:b/>
          <w:i w:val="false"/>
          <w:color w:val="000000"/>
          <w:sz w:val="28"/>
        </w:rPr>
        <w:t xml:space="preserve">               арасындағы (күндердегi) аралықтар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1473"/>
        <w:gridCol w:w="1713"/>
        <w:gridCol w:w="2193"/>
        <w:gridCol w:w="2093"/>
      </w:tblGrid>
      <w:tr>
        <w:trPr>
          <w:trHeight w:val="450" w:hRule="atLeast"/>
        </w:trPr>
        <w:tc>
          <w:tcPr>
            <w:tcW w:w="5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Түбегейлi ем-шаралар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Келесi ем-шаралар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 </w:t>
            </w:r>
            <w:r>
              <w:br/>
            </w:r>
            <w:r>
              <w:rPr>
                <w:rFonts w:ascii="Times New Roman"/>
                <w:b w:val="false"/>
                <w:i w:val="false"/>
                <w:color w:val="000000"/>
                <w:sz w:val="20"/>
              </w:rPr>
              <w:t xml:space="preserve">
беру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Плазма- </w:t>
            </w:r>
            <w:r>
              <w:br/>
            </w:r>
            <w:r>
              <w:rPr>
                <w:rFonts w:ascii="Times New Roman"/>
                <w:b w:val="false"/>
                <w:i w:val="false"/>
                <w:color w:val="000000"/>
                <w:sz w:val="20"/>
              </w:rPr>
              <w:t xml:space="preserve">
ферез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тромбоци- </w:t>
            </w:r>
            <w:r>
              <w:br/>
            </w:r>
            <w:r>
              <w:rPr>
                <w:rFonts w:ascii="Times New Roman"/>
                <w:b w:val="false"/>
                <w:i w:val="false"/>
                <w:color w:val="000000"/>
                <w:sz w:val="20"/>
              </w:rPr>
              <w:t xml:space="preserve">
тоферез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лейкоци- </w:t>
            </w:r>
            <w:r>
              <w:br/>
            </w:r>
            <w:r>
              <w:rPr>
                <w:rFonts w:ascii="Times New Roman"/>
                <w:b w:val="false"/>
                <w:i w:val="false"/>
                <w:color w:val="000000"/>
                <w:sz w:val="20"/>
              </w:rPr>
              <w:t xml:space="preserve">
тоферез </w:t>
            </w:r>
          </w:p>
        </w:tc>
      </w:tr>
      <w:tr>
        <w:trPr>
          <w:trHeight w:val="45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Қан беру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45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Плазмаферез </w:t>
            </w:r>
            <w:r>
              <w:br/>
            </w:r>
            <w:r>
              <w:rPr>
                <w:rFonts w:ascii="Times New Roman"/>
                <w:b w:val="false"/>
                <w:i w:val="false"/>
                <w:color w:val="000000"/>
                <w:sz w:val="20"/>
              </w:rPr>
              <w:t xml:space="preserve">
Доза 250-300 мл </w:t>
            </w:r>
            <w:r>
              <w:br/>
            </w:r>
            <w:r>
              <w:rPr>
                <w:rFonts w:ascii="Times New Roman"/>
                <w:b w:val="false"/>
                <w:i w:val="false"/>
                <w:color w:val="000000"/>
                <w:sz w:val="20"/>
              </w:rPr>
              <w:t xml:space="preserve">
Доза 500-800 мл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 </w:t>
            </w:r>
            <w:r>
              <w:br/>
            </w:r>
            <w:r>
              <w:rPr>
                <w:rFonts w:ascii="Times New Roman"/>
                <w:b w:val="false"/>
                <w:i w:val="false"/>
                <w:color w:val="000000"/>
                <w:sz w:val="20"/>
              </w:rPr>
              <w:t xml:space="preserve">
14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 </w:t>
            </w:r>
            <w:r>
              <w:br/>
            </w:r>
            <w:r>
              <w:rPr>
                <w:rFonts w:ascii="Times New Roman"/>
                <w:b w:val="false"/>
                <w:i w:val="false"/>
                <w:color w:val="000000"/>
                <w:sz w:val="20"/>
              </w:rPr>
              <w:t xml:space="preserve">
14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 </w:t>
            </w:r>
            <w:r>
              <w:br/>
            </w:r>
            <w:r>
              <w:rPr>
                <w:rFonts w:ascii="Times New Roman"/>
                <w:b w:val="false"/>
                <w:i w:val="false"/>
                <w:color w:val="000000"/>
                <w:sz w:val="20"/>
              </w:rPr>
              <w:t xml:space="preserve">
14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7-14 </w:t>
            </w:r>
            <w:r>
              <w:br/>
            </w:r>
            <w:r>
              <w:rPr>
                <w:rFonts w:ascii="Times New Roman"/>
                <w:b w:val="false"/>
                <w:i w:val="false"/>
                <w:color w:val="000000"/>
                <w:sz w:val="20"/>
              </w:rPr>
              <w:t xml:space="preserve">
14 </w:t>
            </w:r>
          </w:p>
        </w:tc>
      </w:tr>
      <w:tr>
        <w:trPr>
          <w:trHeight w:val="45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тромбоцитоферез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r>
      <w:tr>
        <w:trPr>
          <w:trHeight w:val="450" w:hRule="atLeast"/>
        </w:trPr>
        <w:tc>
          <w:tcPr>
            <w:tcW w:w="5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лейкоцитоферез </w:t>
            </w:r>
          </w:p>
        </w:tc>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