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ee2b" w14:textId="232e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белгілеу, Бағалы қағаздар рыногында кәсіби қызмет түрлерін қоса атқаратын ұйымдарға арналған пруденциалдық нормативтерді есептеу ережесін бекіту жөнінде" 2005 жылғы 29 қаңтардағы N 17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26 қарашадағы N 414 Қаулысы. Қазақстан Республикасының Әділет министрлігінде 2005 жылғы 26 желтоқсанда тіркелді. Тіркеу N 3994.
Күші жойылды - Қазақстан Республикасы Қаржы нарығын және қаржы ұйымдарын реттеу мен қадағалау агенттігі Басқармасының 2006 жылғы 17 маусымдағы N 132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нарығын және қаржы ұйымдарын реттеу мен қадағалау агенттігі Басқармасының 2006 жылғы 17 маусымдағы N 132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3-бабы, 2-тармағының 11), 15) тармақшаларына, 
</w:t>
      </w:r>
      <w:r>
        <w:rPr>
          <w:rFonts w:ascii="Times New Roman"/>
          <w:b w:val="false"/>
          <w:i w:val="false"/>
          <w:color w:val="000000"/>
          <w:sz w:val="28"/>
        </w:rPr>
        <w:t xml:space="preserve"> 45-бабының </w:t>
      </w:r>
      <w:r>
        <w:rPr>
          <w:rFonts w:ascii="Times New Roman"/>
          <w:b w:val="false"/>
          <w:i w:val="false"/>
          <w:color w:val="000000"/>
          <w:sz w:val="28"/>
        </w:rPr>
        <w:t>
 4-тармағына, 
</w:t>
      </w:r>
      <w:r>
        <w:rPr>
          <w:rFonts w:ascii="Times New Roman"/>
          <w:b w:val="false"/>
          <w:i w:val="false"/>
          <w:color w:val="000000"/>
          <w:sz w:val="28"/>
        </w:rPr>
        <w:t xml:space="preserve"> 49-бабына </w:t>
      </w:r>
      <w:r>
        <w:rPr>
          <w:rFonts w:ascii="Times New Roman"/>
          <w:b w:val="false"/>
          <w:i w:val="false"/>
          <w:color w:val="000000"/>
          <w:sz w:val="28"/>
        </w:rPr>
        <w:t>
 және "Қаржы рыногы мен қаржылық ұйымдарды мемлекеттiк реттеу және қадағалау туралы" Қазақстан Республикасы Заңының 
</w:t>
      </w:r>
      <w:r>
        <w:rPr>
          <w:rFonts w:ascii="Times New Roman"/>
          <w:b w:val="false"/>
          <w:i w:val="false"/>
          <w:color w:val="000000"/>
          <w:sz w:val="28"/>
        </w:rPr>
        <w:t xml:space="preserve"> 9-бабы </w:t>
      </w:r>
      <w:r>
        <w:rPr>
          <w:rFonts w:ascii="Times New Roman"/>
          <w:b w:val="false"/>
          <w:i w:val="false"/>
          <w:color w:val="000000"/>
          <w:sz w:val="28"/>
        </w:rPr>
        <w:t>
, 1-тармағының 5), 6) тармақшаларына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"Бағалы қағаздар рыногында кәсіби қызмет түрлерін қоса атқаратын ұйымдарға арналған пруденциалдық нормативтерді белгілеу, Бағалы қағаздар рыногында кәсіби қызмет түрлерін қоса атқаратын ұйымдарға арналған пруденциалдық нормативтерді есептеу ережесін бекіту жөнінде" 2005 жылғы 29 қаңтардағы N 17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3484 тіркелген), Агенттік Басқармасының 2005 жылғы 25 маусымдағы N 221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3751 тіркелген), Агенттік Басқармасының 2005 жылғы 27 тамыздағы N 310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3868 тіркелген), Агенттік Басқармасының 2005 жылғы 29 қазандағы N 387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өзгерістермен және толықтырулармен бірге)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Бағалы қағаздар рыногында кәсіби қызмет түрлерін қоса атқаратын ұйымдарға арналған пруденциалдық нормативтерді есептеу ережесінде:
</w:t>
      </w:r>
      <w:r>
        <w:br/>
      </w:r>
      <w:r>
        <w:rPr>
          <w:rFonts w:ascii="Times New Roman"/>
          <w:b w:val="false"/>
          <w:i w:val="false"/>
          <w:color w:val="000000"/>
          <w:sz w:val="28"/>
        </w:rPr>
        <w:t>
      1-қосымшада:
</w:t>
      </w:r>
      <w:r>
        <w:br/>
      </w:r>
      <w:r>
        <w:rPr>
          <w:rFonts w:ascii="Times New Roman"/>
          <w:b w:val="false"/>
          <w:i w:val="false"/>
          <w:color w:val="000000"/>
          <w:sz w:val="28"/>
        </w:rPr>
        <w:t>
      "Дефолт коэффициентінің мәні" кестесінде: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7"/>
        <w:gridCol w:w="1280"/>
        <w:gridCol w:w="1064"/>
        <w:gridCol w:w="1221"/>
        <w:gridCol w:w="1123"/>
        <w:gridCol w:w="1595"/>
      </w:tblGrid>
      <w:tr>
        <w:trPr>
          <w:trHeight w:val="90" w:hRule="atLeast"/>
        </w:trPr>
        <w:tc>
          <w:tcPr>
            <w:tcW w:w="6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"ААА" ("Standard &amp; Poor's" және  "Fitch" рейтинг агенттіктерінің  жіктелімі бойынша) немесе "Ааа" ("Moody's Investors Service" рейтинг агенттігінің жіктелімі бойынша) кем емес рейтинг бағасы бар инвестициялық қорлардың пайлары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0,00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
</w:t>
            </w:r>
          </w:p>
        </w:tc>
      </w:tr>
    </w:tbl>
    <w:p>
      <w:pPr>
        <w:spacing w:after="0"/>
        <w:ind w:left="0"/>
        <w:jc w:val="both"/>
      </w:pPr>
      <w:r>
        <w:rPr>
          <w:rFonts w:ascii="Times New Roman"/>
          <w:b w:val="false"/>
          <w:i w:val="false"/>
          <w:color w:val="000000"/>
          <w:sz w:val="28"/>
        </w:rPr>
        <w:t>
      деген 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6"/>
        <w:gridCol w:w="1219"/>
        <w:gridCol w:w="1082"/>
        <w:gridCol w:w="1219"/>
        <w:gridCol w:w="1141"/>
        <w:gridCol w:w="1613"/>
      </w:tblGrid>
      <w:tr>
        <w:trPr>
          <w:trHeight w:val="90" w:hRule="atLeast"/>
        </w:trPr>
        <w:tc>
          <w:tcPr>
            <w:tcW w:w="6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"AAAm"-нен кем "Standard &amp; Poor's principal stability fund ratings" не "AAAf"-тен кем емес "Standard &amp; Poor's Fund credit quality ratings" рейтинг бағасы бар инвестициялық қорлардың пайлары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0,00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0,00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2"/>
        <w:gridCol w:w="1257"/>
        <w:gridCol w:w="1062"/>
        <w:gridCol w:w="1238"/>
        <w:gridCol w:w="1121"/>
        <w:gridCol w:w="1630"/>
      </w:tblGrid>
      <w:tr>
        <w:trPr>
          <w:trHeight w:val="90" w:hRule="atLeast"/>
        </w:trPr>
        <w:tc>
          <w:tcPr>
            <w:tcW w:w="6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 ("Standard &amp; Poor's" және  "Fitch" рейтинг агенттіктерінің  жіктелімі бойынша) немесе "Аа2" ("Moody's Investors Service" рейтинг агенттігінің жіктелімі бойынша) кем емес рейтинг бағасы бар инвестициялық қорлардың пайлары
</w:t>
            </w:r>
          </w:p>
        </w:tc>
        <w:tc>
          <w:tcPr>
            <w:tcW w:w="12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0,08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0,16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0,26"
</w:t>
            </w:r>
          </w:p>
        </w:tc>
      </w:tr>
    </w:tbl>
    <w:p>
      <w:pPr>
        <w:spacing w:after="0"/>
        <w:ind w:left="0"/>
        <w:jc w:val="both"/>
      </w:pPr>
      <w:r>
        <w:rPr>
          <w:rFonts w:ascii="Times New Roman"/>
          <w:b w:val="false"/>
          <w:i w:val="false"/>
          <w:color w:val="000000"/>
          <w:sz w:val="28"/>
        </w:rPr>
        <w:t>
      деген 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8"/>
        <w:gridCol w:w="1219"/>
        <w:gridCol w:w="1102"/>
        <w:gridCol w:w="1219"/>
        <w:gridCol w:w="1180"/>
        <w:gridCol w:w="1592"/>
      </w:tblGrid>
      <w:tr>
        <w:trPr>
          <w:trHeight w:val="90" w:hRule="atLeast"/>
        </w:trPr>
        <w:tc>
          <w:tcPr>
            <w:tcW w:w="6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"AAm"-нен кем "Standard &amp; Poor's principal stability fund ratings" не "AAf"-тен кем емес "Standard &amp; Poor's Fund credit quality ratings" рейтинг бағасы бар инвестициялық қорлардың пайлары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0,08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0,16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0,26"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1218"/>
        <w:gridCol w:w="1082"/>
        <w:gridCol w:w="1257"/>
        <w:gridCol w:w="1179"/>
        <w:gridCol w:w="1591"/>
      </w:tblGrid>
      <w:tr>
        <w:trPr>
          <w:trHeight w:val="90" w:hRule="atLeast"/>
        </w:trPr>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("Standard &amp; Poor's" және  "Fitch" рейтинг агенттіктерінің жіктелімі бойынша) немесе "А2" ("Moody's Investors Service" рейтинг агенттігінің жіктелімі бойынша) кем емес рейтинг бағасы бар инвестициялық қорлардың пайлары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
</w:t>
            </w:r>
          </w:p>
        </w:tc>
        <w:tc>
          <w:tcPr>
            <w:tcW w:w="12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0,24
</w:t>
            </w:r>
          </w:p>
        </w:tc>
        <w:tc>
          <w:tcPr>
            <w:tcW w:w="1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0,40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0,57"
</w:t>
            </w:r>
          </w:p>
        </w:tc>
      </w:tr>
    </w:tbl>
    <w:p>
      <w:pPr>
        <w:spacing w:after="0"/>
        <w:ind w:left="0"/>
        <w:jc w:val="both"/>
      </w:pPr>
      <w:r>
        <w:rPr>
          <w:rFonts w:ascii="Times New Roman"/>
          <w:b w:val="false"/>
          <w:i w:val="false"/>
          <w:color w:val="000000"/>
          <w:sz w:val="28"/>
        </w:rPr>
        <w:t>
      деген 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2"/>
        <w:gridCol w:w="1239"/>
        <w:gridCol w:w="1064"/>
        <w:gridCol w:w="1259"/>
        <w:gridCol w:w="1161"/>
        <w:gridCol w:w="1615"/>
      </w:tblGrid>
      <w:tr>
        <w:trPr>
          <w:trHeight w:val="90" w:hRule="atLeast"/>
        </w:trPr>
        <w:tc>
          <w:tcPr>
            <w:tcW w:w="6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"Am"-нен кем "Standard &amp; Poor's principal stability fund ratings" не "Af"-тен кем емес  "Standard &amp; Poor's Fund credit quality ratings" рейтинг бағасы бар шетелдік инвестициялық қорлардың пайлары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0,24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0,40
</w:t>
            </w:r>
          </w:p>
        </w:tc>
        <w:tc>
          <w:tcPr>
            <w:tcW w:w="1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0,57";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5"/>
        <w:gridCol w:w="1239"/>
        <w:gridCol w:w="1044"/>
        <w:gridCol w:w="1278"/>
        <w:gridCol w:w="1161"/>
        <w:gridCol w:w="1613"/>
      </w:tblGrid>
      <w:tr>
        <w:trPr>
          <w:trHeight w:val="90" w:hRule="atLeast"/>
        </w:trPr>
        <w:tc>
          <w:tcPr>
            <w:tcW w:w="6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"ВВВ" ("Standard &amp; Poor's" және  "Fitch" рейтинг агенттіктерінің  жіктелімі бойынша) немесе" Baa2" ("Moody's Investors Service" рейтинг агенттігінің жіктелімі бойынша) кем емес рейтинг бағасы бар инвестициялық қорлардың пайлары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0,26
</w:t>
            </w:r>
          </w:p>
        </w:tc>
        <w:tc>
          <w:tcPr>
            <w:tcW w:w="1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0,61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0,98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1,56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
</w:t>
            </w:r>
          </w:p>
        </w:tc>
      </w:tr>
    </w:tbl>
    <w:p>
      <w:pPr>
        <w:spacing w:after="0"/>
        <w:ind w:left="0"/>
        <w:jc w:val="both"/>
      </w:pPr>
      <w:r>
        <w:rPr>
          <w:rFonts w:ascii="Times New Roman"/>
          <w:b w:val="false"/>
          <w:i w:val="false"/>
          <w:color w:val="000000"/>
          <w:sz w:val="28"/>
        </w:rPr>
        <w:t>
      деген 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4"/>
        <w:gridCol w:w="1317"/>
        <w:gridCol w:w="1025"/>
        <w:gridCol w:w="1278"/>
        <w:gridCol w:w="1161"/>
        <w:gridCol w:w="1615"/>
      </w:tblGrid>
      <w:tr>
        <w:trPr>
          <w:trHeight w:val="90" w:hRule="atLeast"/>
        </w:trPr>
        <w:tc>
          <w:tcPr>
            <w:tcW w:w="6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"ВВВm"-нен кем "Standard &amp; Poor's principal stability fund ratings" не "ВВВf"-тен кем емес  "Standard &amp; Poor's Fund credit quality ratings" рейтинг бағасы бар шетелдік инвестициялық қорлардың пайлары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0,26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0,61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0,98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1,56
</w:t>
            </w:r>
          </w:p>
        </w:tc>
        <w:tc>
          <w:tcPr>
            <w:tcW w:w="1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8"/>
        <w:gridCol w:w="1318"/>
        <w:gridCol w:w="1025"/>
        <w:gridCol w:w="1279"/>
        <w:gridCol w:w="1182"/>
        <w:gridCol w:w="1578"/>
      </w:tblGrid>
      <w:tr>
        <w:trPr>
          <w:trHeight w:val="90" w:hRule="atLeast"/>
        </w:trPr>
        <w:tc>
          <w:tcPr>
            <w:tcW w:w="6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 ("Standard &amp; Poor's" және  "Fitch" рейтинг агенттіктерінің  жіктелімі бойынша) немесе "Ba2" ("Moody's Investors Service" рейтинг агенттігінің жіктелімі бойынша) кем емес рейтинг бағасы бар инвестициялық қорлардың пайлары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3,43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6,06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10,46"
</w:t>
            </w:r>
          </w:p>
        </w:tc>
      </w:tr>
    </w:tbl>
    <w:p>
      <w:pPr>
        <w:spacing w:after="0"/>
        <w:ind w:left="0"/>
        <w:jc w:val="both"/>
      </w:pPr>
      <w:r>
        <w:rPr>
          <w:rFonts w:ascii="Times New Roman"/>
          <w:b w:val="false"/>
          <w:i w:val="false"/>
          <w:color w:val="000000"/>
          <w:sz w:val="28"/>
        </w:rPr>
        <w:t>
деген 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1"/>
        <w:gridCol w:w="1374"/>
        <w:gridCol w:w="1024"/>
        <w:gridCol w:w="1277"/>
        <w:gridCol w:w="1180"/>
        <w:gridCol w:w="1634"/>
      </w:tblGrid>
      <w:tr>
        <w:trPr>
          <w:trHeight w:val="90" w:hRule="atLeast"/>
        </w:trPr>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"ВВm"-нен кем "Standard &amp; Poor's principal stability fund ratings" не "ВВf"-тен кем емес "Standard &amp; Poor's Fund credit quality ratings" рейтинг бағасы бар инвестициялық қорлардың пайлары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3,43
</w:t>
            </w:r>
          </w:p>
        </w:tc>
        <w:tc>
          <w:tcPr>
            <w:tcW w:w="1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6,06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8,40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қабылданған күннен бастап он күндік мерзімде оны Агенттіктің мүдделі бөлімшелеріне, "Қазақстан қаржыгерлерінің қауымдастығы" заңды тұлғалар бірлестігіне, "Активтерді басқарушылар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