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ebca" w14:textId="724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ресурстарын үстіңгі көздерден пайдалануға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26 мамырдағы N 144/18-ІІІ шешімі. Астана қаласының Әділет департаментінде 2005 жылғы 20 маусымда N 393 тіркелді. Күші жойылды - Астана қаласы мәслихатының 2009 жылғы 21 желтоқсандағы N 286/42-IV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Астана қаласы мәслихатының 2009.12.21  </w:t>
      </w:r>
      <w:r>
        <w:rPr>
          <w:rFonts w:ascii="Times New Roman"/>
          <w:b w:val="false"/>
          <w:i w:val="false"/>
          <w:color w:val="000000"/>
          <w:sz w:val="28"/>
        </w:rPr>
        <w:t>N 286/42-IV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әкімдігінің ұсынған материалдарын қарап, Қазақстан Республикасының 2003 жылғы 9 шілдедегі Су кодексінің  </w:t>
      </w:r>
      <w:r>
        <w:rPr>
          <w:rFonts w:ascii="Times New Roman"/>
          <w:b w:val="false"/>
          <w:i w:val="false"/>
          <w:color w:val="000000"/>
          <w:sz w:val="28"/>
        </w:rPr>
        <w:t>38-бабын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2001 жылғы 12 маусымдағы Қазақстан Республикасы Кодексінің  </w:t>
      </w:r>
      <w:r>
        <w:rPr>
          <w:rFonts w:ascii="Times New Roman"/>
          <w:b w:val="false"/>
          <w:i w:val="false"/>
          <w:color w:val="000000"/>
          <w:sz w:val="28"/>
        </w:rPr>
        <w:t>454-бабын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Астана қаласы бойынша су ресурстарын үстіңгі көздерден пайдалануға төлем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ресурстарын және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қолдануды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144/18-ІІІ шешімімен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Беткі көздерден шығатын су ресурстарын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төлем мөлшерлемелері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1349"/>
        <w:gridCol w:w="1486"/>
        <w:gridCol w:w="1387"/>
        <w:gridCol w:w="1596"/>
        <w:gridCol w:w="1952"/>
        <w:gridCol w:w="1407"/>
        <w:gridCol w:w="1429"/>
      </w:tblGrid>
      <w:tr>
        <w:trPr>
          <w:trHeight w:val="45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\  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\  ланудың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\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\түрлері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Өзендер   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алабтары   \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балық-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т.к.м </w:t>
            </w:r>
          </w:p>
        </w:tc>
      </w:tr>
      <w:tr>
        <w:trPr>
          <w:trHeight w:val="45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Есіл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алабы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0,036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0,1007 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0,0288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0,0288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72,35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0,0101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0,0029  </w:t>
            </w:r>
          </w:p>
        </w:tc>
      </w:tr>
      <w:tr>
        <w:trPr>
          <w:trHeight w:val="45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алабы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0,0403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0,1151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0,0331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0,0316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81,69 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