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9804" w14:textId="dea9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бойынша 2006 жылға қоршаған ортаны ластағаны үшін төлем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2005 жылғы 23 желтоқсандағы N 212/28-ІІІ Шешімі. Астана қаласының Әділет департаментінде 2006 жылғы 6 ақпанда N 429 тіркелді. Күші жойылды - Астана қаласы мәслихатының 2006 жылғы 14 желтоқсандағы N 308/40-ІІІ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Ескерту: Күші жойылды - Астана қаласы мәслихатының 2006 жылғы 14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308/40-ІІІ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Шешімінің қызметі тоқтатылды - Астана қаласы мәслихатының 2006 жылғы 29 наурыздағы N 239/30-ІІІ шешімінен.&lt;*&gt;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2006 жылғы 29 наурыздағы N 239/30-ІІІ шешімнің күші жойылды - Астана қаласы мәслихатының 2006 жылғы 7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261/32-ІІІ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қалалық аумақтық басқармасының ұсынған материалдарын қарап, Қазақстан Республикасының "Салықтар және бюджетке басқа міндетті төлемдер туралы (Салық Кодексі)" 2001 жылғы 12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462 бабына сәйкес Астана қаласы мәслихаты 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бойынша 2006 жылға қоршаған ортаны ластағаны үшін төлем ставкалары қосымшаға сәйкес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мәслихатының 2004 жылғы 24 желтоқсандағы N 110/15-III "Астана қаласы бойынша 2005 жылға қоршаған ортаны ластағаны үшін төлем ставкаларын белгілеу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</w:t>
      </w:r>
      <w:r>
        <w:rPr>
          <w:rFonts w:ascii="Times New Roman"/>
          <w:b w:val="false"/>
          <w:i w:val="false"/>
          <w:color w:val="000000"/>
          <w:sz w:val="28"/>
        </w:rPr>
        <w:t>
 (Астана қаласының әділет департаментінде 2004 жылғы 29 желтоқсанында N 368 тіркелген)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Астана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аумақтық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2005 жылғы 23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212/28-ІІІ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Қосымша жаңа редакцияда жазылды - Астана қаласы мәслихатының 2006 жылғы 7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261/32-ІІІ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Қоршаған ортаны ластағаны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Астана қаласы бойынша 2006 жылға арналған төлемдер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6500"/>
        <w:gridCol w:w="1534"/>
        <w:gridCol w:w="1849"/>
        <w:gridCol w:w="2115"/>
      </w:tblGrid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Уаттылық сыныбы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көздерден атмосфераға ластаушы заттардың шығарындылары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көздерден атмосфераға ластаушы заттардың шығарындылары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этилденбеген бензин үшін;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дизель отыны үшін;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сұйытылған газ үшін.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ластаушы заттардың төгінділері: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тазартқыш имараттарынан кейін су көздеріне.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 қалдықтарын полигондарда, жинақтауыштарда, рұқсат етілген үйінділерде және арнаулы орындарда орналастыру.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және күл үйінділерін орналастыру.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көрсететін (жылу электр орталығы, қазандықтар) шығатын күл мен күл шлактарын орналастыру.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жыныстар.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