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8fb4" w14:textId="85d8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 2005 жылғы 29 қаңтардағы N 17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124 Қаулысы. Қазақстан Республикасының Әділет министрлігінде 2006 жылғы 27 маусымда тіркелді. Тіркеу N 4267.
Күші жойылды - Қазақстан Республикасы Қаржы нарығын және қаржы ұйымдарын реттеу мен қадағалау агенттігі Басқармасының 2006 жылғы 17 маусымдағы N 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45-бабының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 2005 жылғы 29 қаңтардағы N 17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3484 тіркелген), Қазақстан Республикасы Қаржы нарығын және қаржы ұйымдарын реттеу мен қадағалау агенттігі Басқармасының 2005 жылғы 25 маусымдағы N 221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3751 тіркелген), Қазақстан Республикасы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2005 жылғы 29 қазандағы N 387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3952 тіркелген), Қазақстан Республикасы Қаржы нарығын және қаржы ұйымдарын реттеу мен қадағалау агенттігі Басқармасының 2005 жылғы 26 қарашадағы N 414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3994 тіркелген), Қазақстан Республикасы Қаржы нарығын және қаржы ұйымдарын реттеу мен қадағалау агенттігі Басқармасының 2006 жылғы 25 ақпандағы N 66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4172 тіркелген) енгізілген өзгерістермен және толықтырулармен бірге мынадай толықтырулар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r>
        <w:br/>
      </w:r>
      <w:r>
        <w:rPr>
          <w:rFonts w:ascii="Times New Roman"/>
          <w:b w:val="false"/>
          <w:i w:val="false"/>
          <w:color w:val="000000"/>
          <w:sz w:val="28"/>
        </w:rPr>
        <w:t>
      3-тармақта:
</w:t>
      </w:r>
      <w:r>
        <w:br/>
      </w:r>
      <w:r>
        <w:rPr>
          <w:rFonts w:ascii="Times New Roman"/>
          <w:b w:val="false"/>
          <w:i w:val="false"/>
          <w:color w:val="000000"/>
          <w:sz w:val="28"/>
        </w:rPr>
        <w:t>
      1) тармақша мынадай мазмұндағы төртінші-алтыншы абзацтармен толықтырылсын: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13-2) тармақшамен толықтырылсын:
</w:t>
      </w:r>
      <w:r>
        <w:br/>
      </w:r>
      <w:r>
        <w:rPr>
          <w:rFonts w:ascii="Times New Roman"/>
          <w:b w:val="false"/>
          <w:i w:val="false"/>
          <w:color w:val="000000"/>
          <w:sz w:val="28"/>
        </w:rPr>
        <w:t>
      "13-2)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"20 ___ жылғы "__"_______________ жағдай бойынша _________________________________ (Ұйымның, Қордың толық атауы)
</w:t>
      </w:r>
      <w:r>
        <w:rPr>
          <w:rFonts w:ascii="Times New Roman"/>
          <w:b/>
          <w:i w:val="false"/>
          <w:color w:val="000000"/>
          <w:sz w:val="28"/>
        </w:rPr>
        <w:t>
</w:t>
      </w:r>
      <w:r>
        <w:rPr>
          <w:rFonts w:ascii="Times New Roman"/>
          <w:b w:val="false"/>
          <w:i w:val="false"/>
          <w:color w:val="000000"/>
          <w:sz w:val="28"/>
        </w:rPr>
        <w:t>
Ұйымға және Қорға арналған "Меншікті капиталдың жеткіліктілік коэффициенті" (К1) және "Өтімділігі жоғары активтердің жеткіліктілік коэффициенті" (К2) пруденциалдық нормативтердің есептелуі" 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1-жолда "1.2" деген цифрлар "1.5"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 1.4, 1.5-жолдармен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310"/>
        <w:gridCol w:w="2139"/>
        <w:gridCol w:w="1845"/>
        <w:gridCol w:w="1720"/>
      </w:tblGrid>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6339"/>
        <w:gridCol w:w="2130"/>
        <w:gridCol w:w="1837"/>
        <w:gridCol w:w="1713"/>
      </w:tblGrid>
      <w:tr>
        <w:trPr>
          <w:trHeight w:val="90" w:hRule="atLeast"/>
        </w:trPr>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tc>
        <w:tc>
          <w:tcPr>
            <w:tcW w:w="2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13-2-жолмен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13"/>
        <w:gridCol w:w="2013"/>
        <w:gridCol w:w="1733"/>
        <w:gridCol w:w="1613"/>
      </w:tblGrid>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19.1, 19.2, 19.3-жолдармен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833"/>
        <w:gridCol w:w="1953"/>
        <w:gridCol w:w="1793"/>
        <w:gridCol w:w="1573"/>
      </w:tblGrid>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Басқаруға алынған зейнетақы активтерінің ағымдағы құны (ЗАА)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тәуекелінің коэффициенті (k)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алынған жалпы кіріс (ОАЖК)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w:t>
      </w:r>
      <w:r>
        <w:br/>
      </w:r>
      <w:r>
        <w:rPr>
          <w:rFonts w:ascii="Times New Roman"/>
          <w:b w:val="false"/>
          <w:i w:val="false"/>
          <w:color w:val="000000"/>
          <w:sz w:val="28"/>
        </w:rPr>
        <w:t>
      "20 ___ жылғы "__"_______________ жағдай бойынша ______________________ (Ұйымның, Қордың атауы) Ұйымға және Қорға арналған Меншікті капиталдың жеткіліктілік коэффициенті"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және "Өтімділігі жоғары активтердің жеткіліктілік коэффициенті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пруденциалдық нормативтерді есептеу үшін қосымша мәліметтер" кестесі мынадай мазмұндағы 8015, 8016, 8017, 8018-жолдармен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9095"/>
        <w:gridCol w:w="1760"/>
      </w:tblGrid>
      <w:tr>
        <w:trPr>
          <w:trHeight w:val="255" w:hRule="atLeast"/>
        </w:trPr>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9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w:t>
            </w:r>
            <w:r>
              <w:br/>
            </w:r>
            <w:r>
              <w:rPr>
                <w:rFonts w:ascii="Times New Roman"/>
                <w:b w:val="false"/>
                <w:i w:val="false"/>
                <w:color w:val="000000"/>
                <w:sz w:val="20"/>
              </w:rPr>
              <w:t>
депозитарийінің шоттарындағы ақша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9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9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r>
              <w:rPr>
                <w:rFonts w:ascii="Times New Roman"/>
                <w:b/>
                <w:i w:val="false"/>
                <w:color w:val="000000"/>
                <w:sz w:val="20"/>
              </w:rPr>
              <w:t>
</w:t>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w:t>
      </w:r>
      <w:r>
        <w:br/>
      </w:r>
      <w:r>
        <w:rPr>
          <w:rFonts w:ascii="Times New Roman"/>
          <w:b w:val="false"/>
          <w:i w:val="false"/>
          <w:color w:val="000000"/>
          <w:sz w:val="28"/>
        </w:rPr>
        <w:t>
      "20 ___ жылғы "__"_______________ жағдай бойынша Басқарушыға және Брокерге және (немесе) дилерге арналған "Меншікті капиталдың жеткіліктілік коэффициенті"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пруденциалдық нормативінің есептеуі" кестесі: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 1.4, 1.5-жолдармен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7330"/>
        <w:gridCol w:w="1284"/>
        <w:gridCol w:w="1350"/>
        <w:gridCol w:w="1701"/>
      </w:tblGrid>
      <w:tr>
        <w:trPr>
          <w:trHeight w:val="49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 үшін есеп айырысу банктік қызмет көрсететін резидент-емес ұйымдардың шоттарындағы ақша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7105"/>
        <w:gridCol w:w="1504"/>
        <w:gridCol w:w="1504"/>
        <w:gridCol w:w="1591"/>
      </w:tblGrid>
      <w:tr>
        <w:trPr>
          <w:trHeight w:val="495" w:hRule="atLeast"/>
        </w:trPr>
        <w:tc>
          <w:tcPr>
            <w:tcW w:w="1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негізгі қарыз бен есептелген сыйақы сомасын есепке ала отырып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12.2-жолмен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433"/>
        <w:gridCol w:w="1413"/>
        <w:gridCol w:w="1393"/>
        <w:gridCol w:w="1593"/>
      </w:tblGrid>
      <w:tr>
        <w:trPr>
          <w:trHeight w:val="49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 орталық  депозитарийінің және акционерлері қаржы құралдары рыногының кәсіпқой қатысушылары болып табылатын, қаржы құралдары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5-қосымшада:
</w:t>
      </w:r>
      <w:r>
        <w:br/>
      </w:r>
      <w:r>
        <w:rPr>
          <w:rFonts w:ascii="Times New Roman"/>
          <w:b w:val="false"/>
          <w:i w:val="false"/>
          <w:color w:val="000000"/>
          <w:sz w:val="28"/>
        </w:rPr>
        <w:t>
      "20 ___ жылғы "__"_______________ жағдай бойынша Басқарушыға және Брокерге және (немесе) дилерге арналған пруденциалдық нормативтерді есептеу үшін қосымша мәліметтер" кестесі мынадай мазмұндағы 8024, 8025, 8026, 8027-жолдармен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8886"/>
        <w:gridCol w:w="1917"/>
      </w:tblGrid>
      <w:tr>
        <w:trPr>
          <w:trHeight w:val="255" w:hRule="atLeast"/>
        </w:trPr>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8024
</w:t>
            </w:r>
          </w:p>
        </w:tc>
        <w:tc>
          <w:tcPr>
            <w:tcW w:w="8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1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8025
</w:t>
            </w:r>
          </w:p>
        </w:tc>
        <w:tc>
          <w:tcPr>
            <w:tcW w:w="8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1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c>
          <w:tcPr>
            <w:tcW w:w="8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1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8027
</w:t>
            </w:r>
          </w:p>
        </w:tc>
        <w:tc>
          <w:tcPr>
            <w:tcW w:w="8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r>
              <w:rPr>
                <w:rFonts w:ascii="Times New Roman"/>
                <w:b/>
                <w:i w:val="false"/>
                <w:color w:val="000000"/>
                <w:sz w:val="20"/>
              </w:rPr>
              <w:t>
</w:t>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