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0ab0" w14:textId="7710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бойынша Ақмола облысының елді мекендерінің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2006 жылғы 8 желтоқсандағы N ЗС-24-21 шешімі. Ақмола облысының әділет департаментінде 2007 жылғы 19 қаңтарда N 3210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«селосы», «селолық» деген сөздер «ауылы», «ауылдық»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 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бабына сәйкес, Шортанды аудандық мәслихатының шешімі, Шортанды ауданы әкімдігінің қаулысы негізінде және Ақмола облысы әкімдігінің жанындағы тіл саясаты және ономастика жөніндегі облыстық комиссияның 2006 жылғы 19 қазандағы шешімінің 3 тармағына байланысты Ақмола облысының әкімдігі мен Ақмола облыстық мәслихаты 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 бойынша Ақмола облысының елді мекендерінің атаулары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Елизаветинка ауылдық округі мен Елизаветинка ауылы сәйкес Бозайғыр ауылдық округі мен Бозайғыр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Казциковское ауылдық округінің Барышевка ауылы Мықтыкөл ауылына.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облысының әділет департаментінде мемлекеттік тіркеуден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облыстық газеттерде ресми жарияланғаннан кейін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