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c810" w14:textId="821c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2008 жылғы 5 желтоқсандағы N 19/2 қаулысы. Қарағанды облысы Шахтинск қаласы Әділет басқармасында 2009 жылғы 16 қаңтарда N 8-8-62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Саны 300 адамды қоғамдық жұмыстарға арналған сұраныстар мен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Қоғамдық жұмыстар жүргізілетін ұйымдардың тізімі, жұмыстардың түрлері, қатысушылардың еңбекақысының мөлшерімен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"Шахтинск қаласының жұмыспен қамту және әлеуметтік бағдарламалар бөлімі" мемлекеттік мекемесіне (Р.И. Меллятова):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2 тармағында белгіленген барлық жұмыс берушілермен қоғамдық жұмыстарды орындау шарттарын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қоғамдық жұмыстарды ұйымдастыру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Ережелерімен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қатаң сәйкестікте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"Шахтинск қаласының қаржы бөлімі" мемлекеттік мекемесіне (А.Б. Меллятов) 13 470 теңге ең төменгі еңбекақы мөлшерін ескере отырып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 бақылау қала әкімінің орынбасары Б. К. Егишевке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    Қ. Мұкатов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 тізімі және ай сайын жіберілетін жұмыссыздардың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мекемелер – 224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мемлекеттік қазыналық кәсіпорындар – 2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мемлекеттік қазыналық кәсіпорындар – 74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оңтайландыру;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аймақтық кампания;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объектілерді жөндеу және қайта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оқу барысын және балалардың бос уақытын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қайрымдылық бикесі қызметтерін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"Салауатты ұлт" бағдарламасын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әлеуметтік қызметтерге көмектесу;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демалыс кезеңінде балалардың демалысын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жолдарды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көгалдандыру;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аула клубтарының қызметін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тәрбиелеуші-педагогтардың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жастардың бос уақытын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мәдени-сауықтық іс-шараларды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тәртіп сақтауды қамтамасыз ету жөніндегі іс-шаралар.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қатысушылардың еңбек ақысының мөлшері 2009 жылға арналған қоғамдық жұмыстарды қаржыландыруға бөлінген мөлшерін ескере отырып, Қазақстан Республикасының еңбек заңнамасына сәйкес анықталады.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