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6d571" w14:textId="b86d5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2009 жылға арналған тіркелген салықтың бірыңғай ставкаларын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Шахтинск қалалық мәслихатының IV шақырылған IХ сессиясының 2008 жылғы 25 желтоқсандағы N 435/9 шешімі. Қарағанды облысы Шахтинск қаласы Әділет басқармасында 2009 жылғы 19 қаңтарда N 8-8-63 тіркелді. Күші жойылды - Қарағанды облысы Шахтинск қалалық мәслихатының XVII сессиясының 2009 жылғы 22 желтоқсандағы N 523/17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 xml:space="preserve">      Ескерту. Күші жойылды - Қарағанды облысы Шахтинск қалалық мәслихатының XVII сессиясының 2009.12.22 N 523/17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/>
          <w:color w:val="80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10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"Салық және бюджетке төленетін басқа да міндетті төлемдер туралы" (Салық кодексі), "Қазақстан Республикасындағы жергілікті мемлекеттік басқару туралы" Қазақстан Республикасының 2001 жылғы 23 қаңтардағы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қалалық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Қалада және маңындағы кенттерде қызметін жүзеге асыратын заңды тұлғаларға және жеке кәсіпкерлерге 2009 жылға арналған тіркелген жиынтық салықтың бірыңғай ставкалары қосымшаға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Қалалық Мәслихаттың 2008 жылғы 17 қаңтардағы "2008 жылға арналған кәсіпкерлік қызметтің кейбір түрлеріне белгіленген тіркелген жиынтық салық ставкаларын белгілеу туралы" (нормативтік құқықтық актілерін мемлекеттік тіркеу Тізілімінде N 8-8-49 тіркелген, 2008 жылғы 8 ақпандағы "Шахтинский вестник" газетінде жарияланған) N 382/4 шешімінің күші жойылсын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 алғаш ресми жарияланғаннан кейін күнтізбелік он күн өткен соң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Сессияның төрайымы                         М. Бачаева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хатшысы                                    Ә. Сатова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Қалалық Мәслихаттың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2008 жылғы 25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ІХ сессиясының N 435/9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Қалада және маңындағы кенттерде қызметін жүзеге асыратын заңды тұлғаларға және жеке кәсіпкерлерге 2009 жылға арналған тіркелген жиынтық салықтың бірыңғай ставкалары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0"/>
        <w:gridCol w:w="5028"/>
        <w:gridCol w:w="6442"/>
      </w:tblGrid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объектісінің атауы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объектіге тіркелген жиынтық салықтың ставкасы, бір жылға  айлық есептеу көрсеткішінде бір айға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ойыншымен ойын өткізуге арналған ақшасыз ұтыс ойын автоматы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Біреуден артық ойыншылардың қатысуымен ойын өткізуге арналған ақшасыз ұтыс ойын автоматы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өткізу үшін пайдаланылатын жеке компьютер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жолы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Карт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20" w:hRule="atLeast"/>
        </w:trPr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Бильярд үстелі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