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33ca" w14:textId="8f23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жұмыссыздар үшін кәсіби біліктілігін арттыру және қайта даярлау мамандықтар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әкімдігінің 2008 жылғы 2 желтоқсандағы N 2011 қаулысы. Маңғыстау облысының Әділет департаменті Жаңаөзен қаласының Әділет басқармасында 2009 жылғы 14 қаңтарда ормативтік құқықтық кесімдерді мемлекеттік тіркеудің тізіліміне N 11-2-98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
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және Қазақстан Республикасы Үкіметінің Қаулысымен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"Жұмыссыздарды кәсіби мамандыққа даярлауды ұйымдастыру мен қаржыландыру тәртібі жөніндегі"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19 маусымдағы N 836 Ережесіне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1.2009 жылға арналған жұмыссыздар үшін кәсіби біліктілігін арттыру және қайта даярлау мамандықтар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қаулының орындалысын бақылау қала әкімінің орынбасары Т.Сатыбалдиевке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Ж.Бабаханов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жылы 02 желтқсандағы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2011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жұмыссыздар үшін кәсіби біліктілігін</w:t>
      </w:r>
      <w:r>
        <w:br/>
      </w:r>
      <w:r>
        <w:rPr>
          <w:rFonts w:ascii="Times New Roman"/>
          <w:b/>
          <w:i w:val="false"/>
          <w:color w:val="000000"/>
        </w:rPr>
        <w:t>
арттыру және қайта даярлау мамандықтар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870"/>
        <w:gridCol w:w="1115"/>
        <w:gridCol w:w="1525"/>
        <w:gridCol w:w="899"/>
        <w:gridCol w:w="1220"/>
        <w:gridCol w:w="705"/>
        <w:gridCol w:w="1050"/>
        <w:gridCol w:w="1115"/>
        <w:gridCol w:w="1526"/>
        <w:gridCol w:w="2131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Маман- дықтар тізімі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Оқу-ға жіберілетін адамдар-дың саны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орал- мандар саны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мерзі-мі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оқ ақы-сы 1 айға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Тұру ақысы 1 айға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Та- мақ-тану ақы-сы 1 айға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Жол-дың жал-пы құны, мың тен-ге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 куәландуру төлемі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шығын (мың теңге)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элект- ронды есеп- теуіш машина операто-ры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10000-00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Такелаж-ник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1ай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16000-00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Электргазбендәнекерлеуші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16000-00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16000-00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мекеме- лері маманы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15000-00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Бұрғышы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23000-00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жүргізу-ші А 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25000-00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жүргізу-ші УП-50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25000-00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15000-00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ілдіруші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күн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10000-00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Офис-ме-неджер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15000-00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Масса- жист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15000-00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Маникюр-педикюр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15000-00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15000-00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Токарь, фрезировщик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Пекарь- кондитер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15000-00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