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bfc6" w14:textId="f2eb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қамтамасыз ету, білім беру, мәдениет және спорт мамандарына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2008 жылғы 18 наурыздағы N 5/10 шешімі. Солтүстік Қазақстан облысының Әдідет департаментінде 2008 жылғы 9 сәуірде N 1669 тіркелді. Қолданылу мерзімінің өтуіне байланысты күші жойылды (Солтүстік Қазақстан облысы мәслихаты аппаратының 2015 жылғы 13 тамыздағы N 2.1-11/280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мәслихаты аппаратының 13.08.2015 N 2.1-11/280 хаты).</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 15) тармақшасына, "Агроөнеркәсіптік кешенді және ауылдық аумақтарды дамытуды мемлекеттік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18 бабы 4 тармағына, Қазақстан Республикасы </w:t>
      </w:r>
      <w:r>
        <w:rPr>
          <w:rFonts w:ascii="Times New Roman"/>
          <w:b w:val="false"/>
          <w:i w:val="false"/>
          <w:color w:val="000000"/>
          <w:sz w:val="28"/>
        </w:rPr>
        <w:t xml:space="preserve">Еңбек кодексінің </w:t>
      </w:r>
      <w:r>
        <w:rPr>
          <w:rFonts w:ascii="Times New Roman"/>
          <w:b w:val="false"/>
          <w:i w:val="false"/>
          <w:color w:val="000000"/>
          <w:sz w:val="28"/>
        </w:rPr>
        <w:t xml:space="preserve">238 бабы 3 тармағына сәйкес, облыстық мәслихат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 жұмыс істейтін денсаулық сақтау, әлеуметтік қамтамасыз ету, білім беру, мәдениет және спорт мамандарына қалалық жағдайда қызметтік осы түрімен айналысатын мамандардың жалақыларымен және ставкаларымен салыстырғанда 2008 жылға арналған облыстық бюджет қаражаты есебінен жиырма бес пайызға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xml:space="preserve">2. Осы шешім бірінші ресми жарияланғаннан кейін күнтізбелік 10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Ү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хатшысының м.а.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