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3ae6" w14:textId="54e3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30 қарашадағы № 242 Қаулысы. Қазақстан Республикасы Әділет министрлігінде 2010 жылғы 5 қаңтарда Нормативтік құқықтық кесімдерді мемлекеттік тіркеудің тізіліміне N 5985 болып енгізілді.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Номиналды ұстау қызметін көрсететін бағалы қағаздар нарығының кәсіби қатысушыларының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(Нормативтік құқықтық актілерді мемлекеттік тіркеу тізілімінде № 4138тіркелген)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пайдасына бағалы қағаздарға ауыртпалық салынған тұлғалар туралы;»;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«23-2.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номиналды ұстаушы клиенттердің номиналды ұстауға берілген активтердің қайтаруын қамтамасыз ету мақсатында номиналды ұстаушының есеп жүргізу жүйесінде клиентпен номиналды ұстау жөнінде жасалған шарт аясында ашылған шоттардағы активтерді есептен шығару жөніндегі бұйрықтарды номиналды ұстаушыға ұсыну қажеттілігі туралы клиенттерді хабардар етеді.</w:t>
      </w:r>
      <w:r>
        <w:br/>
      </w:r>
      <w:r>
        <w:rPr>
          <w:rFonts w:ascii="Times New Roman"/>
          <w:b w:val="false"/>
          <w:i w:val="false"/>
          <w:color w:val="000000"/>
          <w:sz w:val="28"/>
        </w:rPr>
        <w:t>
</w:t>
      </w:r>
      <w:r>
        <w:rPr>
          <w:rFonts w:ascii="Times New Roman"/>
          <w:b w:val="false"/>
          <w:i w:val="false"/>
          <w:color w:val="000000"/>
          <w:sz w:val="28"/>
        </w:rPr>
        <w:t>
      Номиналды ұстаушы клиенттің активтерін есептен шығару жөніндегі бұйрығын алған жағдайда осы Ереженің 23-1-тармағының бірінші бөлігінде көзделген әрекеттерді орындайды.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хабарламаны клиентке жіберген күннен бастап тоқсан күнтізбелік күн ішінде клиенттің активтерін есептен шығару туралы бұйрықты не клиенттің орналасқан жерде (тұрғылықты жері бойынша) болмауы туралы хабарламаны алмаған жағдайда, номиналды ұстаушы:</w:t>
      </w:r>
      <w:r>
        <w:br/>
      </w:r>
      <w:r>
        <w:rPr>
          <w:rFonts w:ascii="Times New Roman"/>
          <w:b w:val="false"/>
          <w:i w:val="false"/>
          <w:color w:val="000000"/>
          <w:sz w:val="28"/>
        </w:rPr>
        <w:t>
</w:t>
      </w:r>
      <w:r>
        <w:rPr>
          <w:rFonts w:ascii="Times New Roman"/>
          <w:b w:val="false"/>
          <w:i w:val="false"/>
          <w:color w:val="000000"/>
          <w:sz w:val="28"/>
        </w:rPr>
        <w:t>
      1) орталық депозитарийге орталық депозитарийдің есеп жүргізу жүйесінде ашылған номиналды ұсатушының шотынан бағалы қағаздарды кейін оларды эмитенттің бағалы қағаздарын ұсатушыларының тізілімдері жүйесін жүргізуді жүзеге асыратын тіркеушінің номиналды ұстаушының клиентіне бағалы қағаздар ұстаушыларының тізілімі жүйесінде ашылған жеке шотына есепке алуы мақсатында бағалы қағаздарды есептен шығару жөнінде бұйрық жібереді;</w:t>
      </w:r>
      <w:r>
        <w:br/>
      </w:r>
      <w:r>
        <w:rPr>
          <w:rFonts w:ascii="Times New Roman"/>
          <w:b w:val="false"/>
          <w:i w:val="false"/>
          <w:color w:val="000000"/>
          <w:sz w:val="28"/>
        </w:rPr>
        <w:t>
</w:t>
      </w:r>
      <w:r>
        <w:rPr>
          <w:rFonts w:ascii="Times New Roman"/>
          <w:b w:val="false"/>
          <w:i w:val="false"/>
          <w:color w:val="000000"/>
          <w:sz w:val="28"/>
        </w:rPr>
        <w:t>
      2) клиенттің ақшасын, кейіннен оларды номиналды ұстаушының осы клиентіне тапсыру үшін, нотариус депозитіне береді;</w:t>
      </w:r>
      <w:r>
        <w:br/>
      </w:r>
      <w:r>
        <w:rPr>
          <w:rFonts w:ascii="Times New Roman"/>
          <w:b w:val="false"/>
          <w:i w:val="false"/>
          <w:color w:val="000000"/>
          <w:sz w:val="28"/>
        </w:rPr>
        <w:t>
</w:t>
      </w:r>
      <w:r>
        <w:rPr>
          <w:rFonts w:ascii="Times New Roman"/>
          <w:b w:val="false"/>
          <w:i w:val="false"/>
          <w:color w:val="000000"/>
          <w:sz w:val="28"/>
        </w:rPr>
        <w:t>
      3) осы тармақтың үшінші бөлігінің 1) және 2) тармақшаларында көрсетілген әрекеттерді жасағаны туралы клиентті хабардар етеді.</w:t>
      </w:r>
      <w:r>
        <w:br/>
      </w:r>
      <w:r>
        <w:rPr>
          <w:rFonts w:ascii="Times New Roman"/>
          <w:b w:val="false"/>
          <w:i w:val="false"/>
          <w:color w:val="000000"/>
          <w:sz w:val="28"/>
        </w:rPr>
        <w:t>
      Орталық депозитарий номиналды ұстаушының шотынан клиенттердің активтерін есептен шығаруды номиналды ұстаушының бұйрықтары негізінде жүзеге асырады.</w:t>
      </w:r>
      <w:r>
        <w:br/>
      </w:r>
      <w:r>
        <w:rPr>
          <w:rFonts w:ascii="Times New Roman"/>
          <w:b w:val="false"/>
          <w:i w:val="false"/>
          <w:color w:val="000000"/>
          <w:sz w:val="28"/>
        </w:rPr>
        <w:t>
</w:t>
      </w:r>
      <w:r>
        <w:rPr>
          <w:rFonts w:ascii="Times New Roman"/>
          <w:b w:val="false"/>
          <w:i w:val="false"/>
          <w:color w:val="000000"/>
          <w:sz w:val="28"/>
        </w:rPr>
        <w:t>
      23-3. Орталық депозитарий номиналды ұстаушының бұйрығын алған күннен бастап үш күнтізбелік күн ішінде эмитенттің бағалы қағаздар ұстаушыларының тізілімдері жүйесін жүргізуді жүзеге асыратын тіркеушіге номиналды ұстаушыға оның клиенті номиналды ұстаудың есебін жүргізу жүйесінде жеке шотты ашу үшін ұсынған құжаттардың түпнұсқаларын және</w:t>
      </w:r>
      <w:r>
        <w:br/>
      </w:r>
      <w:r>
        <w:rPr>
          <w:rFonts w:ascii="Times New Roman"/>
          <w:b w:val="false"/>
          <w:i w:val="false"/>
          <w:color w:val="000000"/>
          <w:sz w:val="28"/>
        </w:rPr>
        <w:t>
</w:t>
      </w:r>
      <w:r>
        <w:rPr>
          <w:rFonts w:ascii="Times New Roman"/>
          <w:b w:val="false"/>
          <w:i w:val="false"/>
          <w:color w:val="000000"/>
          <w:sz w:val="28"/>
        </w:rPr>
        <w:t>
      1) номиналды ұстаушының клиенті болып табылатын бағалы қағаздардың меншік иесіне тізілімдер жүйесінде жеке шотты ашу;</w:t>
      </w:r>
      <w:r>
        <w:br/>
      </w:r>
      <w:r>
        <w:rPr>
          <w:rFonts w:ascii="Times New Roman"/>
          <w:b w:val="false"/>
          <w:i w:val="false"/>
          <w:color w:val="000000"/>
          <w:sz w:val="28"/>
        </w:rPr>
        <w:t>
</w:t>
      </w:r>
      <w:r>
        <w:rPr>
          <w:rFonts w:ascii="Times New Roman"/>
          <w:b w:val="false"/>
          <w:i w:val="false"/>
          <w:color w:val="000000"/>
          <w:sz w:val="28"/>
        </w:rPr>
        <w:t>
      2) номиналды ұстаушының клиенті болып табылатын бағалы қағаздардың меншік иесіне бағалы қағаздар ұстаушыларының тізілімдері жүйесінде ашылған жеке шотына оған тиесілі бағалы қағаздарды есепке алу жөніндегі бұйрықтарды жібереді.</w:t>
      </w:r>
      <w:r>
        <w:br/>
      </w:r>
      <w:r>
        <w:rPr>
          <w:rFonts w:ascii="Times New Roman"/>
          <w:b w:val="false"/>
          <w:i w:val="false"/>
          <w:color w:val="000000"/>
          <w:sz w:val="28"/>
        </w:rPr>
        <w:t>
      Тізілімдер жүйесіндегі жеке шотқа есепке алынған бағалы қағаздардың меншік иесі орталық депозитарийге өтініш жасаған жағдайда орталық депозитарий оған жеке шотының деректемелері мен осы жеке шотты ашқан тіркеуші туралы мәліметтерді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Бағалы қағаздар ұстаушының жеке шотын жабу бойынша операцияны:</w:t>
      </w:r>
      <w:r>
        <w:br/>
      </w:r>
      <w:r>
        <w:rPr>
          <w:rFonts w:ascii="Times New Roman"/>
          <w:b w:val="false"/>
          <w:i w:val="false"/>
          <w:color w:val="000000"/>
          <w:sz w:val="28"/>
        </w:rPr>
        <w:t>
</w:t>
      </w:r>
      <w:r>
        <w:rPr>
          <w:rFonts w:ascii="Times New Roman"/>
          <w:b w:val="false"/>
          <w:i w:val="false"/>
          <w:color w:val="000000"/>
          <w:sz w:val="28"/>
        </w:rPr>
        <w:t>
      1) жеке шотты жабу жөніндегі бұйрықтың негізінде;</w:t>
      </w:r>
      <w:r>
        <w:br/>
      </w:r>
      <w:r>
        <w:rPr>
          <w:rFonts w:ascii="Times New Roman"/>
          <w:b w:val="false"/>
          <w:i w:val="false"/>
          <w:color w:val="000000"/>
          <w:sz w:val="28"/>
        </w:rPr>
        <w:t>
</w:t>
      </w:r>
      <w:r>
        <w:rPr>
          <w:rFonts w:ascii="Times New Roman"/>
          <w:b w:val="false"/>
          <w:i w:val="false"/>
          <w:color w:val="000000"/>
          <w:sz w:val="28"/>
        </w:rPr>
        <w:t>
      2) егер осы клиентпен жасалған номиналды ұстау туралы шартта өзге мерзім белгіленбесе соңғы он екі айда осы жеке шотта бағалы қағаздар болмаған жағдайда;</w:t>
      </w:r>
      <w:r>
        <w:br/>
      </w:r>
      <w:r>
        <w:rPr>
          <w:rFonts w:ascii="Times New Roman"/>
          <w:b w:val="false"/>
          <w:i w:val="false"/>
          <w:color w:val="000000"/>
          <w:sz w:val="28"/>
        </w:rPr>
        <w:t>
</w:t>
      </w:r>
      <w:r>
        <w:rPr>
          <w:rFonts w:ascii="Times New Roman"/>
          <w:b w:val="false"/>
          <w:i w:val="false"/>
          <w:color w:val="000000"/>
          <w:sz w:val="28"/>
        </w:rPr>
        <w:t>
      3)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клиентке барлық активтер қайтарылған жағдайда номиналды ұстаушы жүргізеді.</w:t>
      </w:r>
      <w:r>
        <w:br/>
      </w:r>
      <w:r>
        <w:rPr>
          <w:rFonts w:ascii="Times New Roman"/>
          <w:b w:val="false"/>
          <w:i w:val="false"/>
          <w:color w:val="000000"/>
          <w:sz w:val="28"/>
        </w:rPr>
        <w:t>
      Жеке шотты жапқан кезде клиентке номиналды ұстаушының ішкі құжатында белгіленген нысанда тиісті хабарлама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екінші кестесінің «ауыртпалық» деген бағаны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 салу жүзеге асырылған тұлғаны көрсете отырып, ауыртпалық салынған</w:t>
            </w:r>
          </w:p>
        </w:tc>
      </w:tr>
    </w:tbl>
    <w:bookmarkStart w:name="z2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үшінші кестесінің «ауыртпалық түсірілген және (немесе) оқшауланған» деген бағандары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 салу жүзеге асырылған тұлғаны көрсете отырып, ауыртпалық салынған және (немесе) оқшауланған</w:t>
            </w:r>
          </w:p>
        </w:tc>
      </w:tr>
    </w:tbl>
    <w:p>
      <w:pPr>
        <w:spacing w:after="0"/>
        <w:ind w:left="0"/>
        <w:jc w:val="both"/>
      </w:pP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А.Ө. Алдамбергенге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