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792" w14:textId="e750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 үшін біржолғы талон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30 қаңтардағы № 4С 15/4 шешімі. Ақмола облысы Атбасар ауданының Әділет басқармасында 2009 жылғы 26 ақпанда № 1-5-108 тіркелді. Күші жойылды - Ақмола облысы Атбасар аудандық мәслихатының 2013 жылғы 28 қаңтардағы № 5С 13/2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аудандық мәслихатының 28.01.2013 № 5С 13/2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туралы»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Атбасар қаласының базарындағы бір жолғы талонның бағасы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Дүркін-дүркін сипаттағы  кәсіпкерлік қызметтердің жекеленген түрлері үшін біржолғы талонның бағасы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2001 жылғы 28 желтоқсандағы Атбасар аудандық мәслихатының «Кәсіпкерлік қызметтің жекеленген түрлері үшін белгіленген салық жиынтығының ставкасы мен біржолғы талон бағасының көлемін бекіту туралы» № С-16 Р-2 шешімі (нормативтік құқықтық актілерді мемлекеттік тіркеудің Аймақтық тізілімінде № 895 тіркелеген, 2002 жылғы 20 ақпанда «Простор» № 14 газетінде жарияланған)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Атбасар ауданының Әділет басқармасында мемлекеттік тіркелген күннен бастап және оны бірінші ресми жариялағаннан соң күн 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       А.Б.Ахметов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 Р.Ш.Ә</w:t>
      </w:r>
      <w:r>
        <w:rPr>
          <w:rFonts w:ascii="Times New Roman"/>
          <w:b w:val="false"/>
          <w:i/>
          <w:color w:val="000000"/>
          <w:sz w:val="28"/>
        </w:rPr>
        <w:t>уб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             К.Н.Садыков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қаласының</w:t>
      </w:r>
      <w:r>
        <w:br/>
      </w:r>
      <w:r>
        <w:rPr>
          <w:rFonts w:ascii="Times New Roman"/>
          <w:b/>
          <w:i w:val="false"/>
          <w:color w:val="000000"/>
        </w:rPr>
        <w:t>
базарындағы бір 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218"/>
        <w:gridCol w:w="548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қатынастағы айлық есептік көрсеткішке бір жолғы талон ставкасының көлемі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 өнімдерін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Азық-түліктер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киімдерді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өнімдерін сату 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 құралдарын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тұтыну тауарларын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 алаң кезінде - 13,6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алаң кезінде- 5,2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шаршы метр алаң  кезінде - 8,5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өнімдерін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 тауарлар сату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Метиздер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Дүркін-дүркін сипаттағы кәсіпкерлік қызметтердің жекеленген түрлері үшін біржолғы талонның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82"/>
        <w:gridCol w:w="490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қатынастағы айлық есептік көрсеткішке бір жолғы талон ставкасының көлемі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Сатылу (стационарлық үй-жайда жүзеге асырылатын қызметтерді қоспағанда):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и журналдар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отырғызу материалдары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бақшы мәдениеті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саяжайда және үй маңында өсірілген табиғи гүлдерді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шаруашылық өнімдерін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бағбандық, бақшашылық, саяжай учаскелерін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жанаурлар мен құстар үшін жем </w:t>
            </w:r>
          </w:p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сыпырғыш, сыпыртқы, орман жидектерін, бал, саңырауқұлақтар және балықтар 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меншікті тракторлар иелерінің қызметі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және құстарын бағу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