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8d32" w14:textId="6d48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Атбасар ауданы Сочинск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Сочинск селосы әкімінің 2009 жылғы 24 тамыздағы № 19 шешімі. Ақмола облысы Атбасар ауданының Әділет басқармасында 2009 жылғы 21 қыркүйекте № 1-5-121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Тақырыпқа өзгеріс енгізілді - Ақмола облысы Атбасар ауданы Сочинское ауылы әкімінің 18.12.2014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Бүкіл мәтін бойынша "селосы", "селолық" сөздері "ауылының", "ауылдық" сөздермен ауыстырылды - Ақмола облысы Атбасар ауданы Сочинское ауылы әкімінің 18.12.2014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  Республикасының әкімшілік–аумақтық құрылысы туралы»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өзін–өзі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Ақмола облысы Атбасар ауданы Сочинск ауылының тұрғындары жиналысының 2009 жылғы 6 маусымдағы хаттамасын есепке ала отырып, Ақмола облысы Атбасар ауданы Сочинск ауылының әкімі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 Атбасар ауданы Сочинск ауылының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көшеге – Еңбек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көшеге – Бейбітшілік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көшеге – Достық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 көшеге – Гагарин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 көшеге – Жастар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 көшеге – Тәуелсіздік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 көшеге – Целинная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 көшеге – Элеватор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 көшеге – Сарыарка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Атбасар ауданының әділет басқармасында мемлекеттік тіркеуден өткен күннен бастап күшіне енеді және бірінші ресми жарияланған күннен бастап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Сочинск ауылының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А.Жаныбеков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«Атбасар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мемелекеттік мекеменің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З.Кенжебаев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«Атбасар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С.Бекенова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