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607" w14:textId="49f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12 маусымдағы № С-16/4 шешімі. Ақмола облысы Шортанды ауданының Әділет басқармасында 2009 жылғы 20 маусымда № 1-18-72 тіркелді. Күші жойылды - Ақмола облысы Шортанды аудандық мәслихатының 2011 жылғы 12 желтоқсандағы № С-45/5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Шортанды аудандық мәслихатының 2011.12.12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он күнтізбелік күннен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10 желтоқсанындағы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маслихат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аумағында қызметін жүзеге асыратын салық төлеушілердің барлығына айына салық салу объектісінің бірлігіне бірыңғай тіркелген салық ставкаларын белгілеу: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ойынды өткізуге арналған ұтыссыз ойын автоматтары – бір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ойынды өткізуге пайдаланылатын дербес компьютер – бір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Шортанды аудандық мәслихатының 2004 жылдың 23 желтоқсанындағы № С-10/3 «Тіркелген жиынтық салықтың мөлшерін бекіту туралы» (нормативтік құқықтық актілерді мемлекеттік тіркеудің Тізілімінде № 2987 тіркелді, 2005 жылдың 29 қаңтарында № 4 «Вести» газетінде жарияланды) 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 мемлекеттік тіркеу күнінен бастап күшіне еніп, оның бірінші ресми жарияланғаннан кейін он күнтізбелік күннен соң әрекетке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 Молдахметова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