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46a2" w14:textId="2e74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2010 жылдың қаңтарынан наурызына дейінгі кезеңде 1993 жылы туған еркек жынысты азаматтарды шақыру учаскесіне тіркеуді ұйымдастыру мен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әкімінің 2009 жылғы 21 желтоқсандағы № 23 шешімі. Ақмола облысы Бурабай ауданының Әділет басқармасында 2010 жылғы 14 қаңтарда № 1-19-171 тіркелді. Күші жойылды - Ақмола облысы Бурабай ауданы әкімінің 2010 жылғы 12 сәуірдегі № 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ауданы әкімінің 2010.04.12 № 5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сәйкес, азаматтарды әскери есепке алу мақсатында, аудан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Бурабай ауданында 2010 жылдың қаңтарынан наурызына дейін «Щучинск қаласының қорғаныс істері жөніндегі біріктірілген бөлімі» мемлекеттік мекемесінің әскерге шақыру учаскесіне 1993 жылы туған, тіркелетін жылы он жеті жасқа толатын еркер жынысты азаматтарды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М.Б.Нұрпановаға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Бурабай ауданының әділет басқармасында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color w:val="000000"/>
          <w:sz w:val="28"/>
        </w:rPr>
        <w:t>      «Щучинск қаласының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Д.С.Апенов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