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d974" w14:textId="b70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2008 жылғы 24 желтоқсандағы ХVІ сессиясының "Қарағанды қаласы азаматтарының жекелеген санаттарына қалалық қоғамдық көліктерде (таксиден басқа) жүруге әлеуметтік көмек көрсету туралы" N 172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XXVIII сессиясының 2009 жылғы 23 желтоқсандағы N 300 шешімі. Қарағанды қаласының Әділет басқармасында 2009 жылғы 29 желтоқсанда N 8-1-108 тіркелді. Күші жойылды - Қарағанды қалалық мәслихатының 2017 жылғы 21 маусымдағы № 171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Қарағанды қалалық мәслихатының 21.06.2017 № 171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 1 тармағының 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1994 жылғы 21 қыркүйектегі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IV шақырылған Қарағанды қалалық мәслихатының 2008 жылғы 24 желтоқсандағы ХVІ сессиясының "Қарағанды қаласы азаматтарының жекелеген санаттарына қалалық қоғамдық көліктерде (таксиден басқа) жүруге әлеуметтік көмек көрсету туралы" N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 (Нормативтік құқықтық актілерді мемлекеттік тіркеу тізілімінде N 8-1-84 болып тіркелген, 2008 жылғы 29 желтоқсандағы N 134 (463) "Взгляд на события" газетінде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"он үш" сөзі "он бес"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еңбек, әлеуметтік саланы дамыту және тұрғындарды әлеуметтік қорғау мәселелері жөніндегі тұрақты комиссияға (төрағасы Асхат Қанатұлы Аймағамбетов)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күннен кейін он күнтізбелік күн өткен соң қолданысқа енгізіледі және 2010 жылғы 1 қаңтардан бастап пайда болған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шақырылған Қарағанды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мәслихатының кезекті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XХVІІІ сессиясының төрағасы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Мұхтаров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Бексұлтанов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жұмыспен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бастығы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Құсаинова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