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3b98" w14:textId="fc5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ставкаларының өзгерістері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28 шілдедегі № 156 шешімі. Қостанай облысы Қамысты ауданының Әділет басқармасында 2009 жылғы 11 қыркүйекте № 9-11-95 тіркелді. Күші жойылды - Қостанай облысы Қамысты ауданы мәслихатының 2015 жылғы 3 тамыздағы № 300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03.08.2015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10 желтоқсандағы Қазақстан Республикасының "Салық және бюджетке төленетін басқа да міндетті төлемдер туралы" Кодексінің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бюджеттің кіріс бөлігін ұлғайту мақсатында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Автотұрақтар (паркингтер), автомобильге май құю станциялары үшін бөлінген (бөліп шығарылған) жерлерді қоспағанда,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процентке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Қамысты ауданы мәслихатының 2012.07.24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олар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С. Төлебаева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"Қамысты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C. Әлпаева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Сейтқамалов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шілде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