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40cc" w14:textId="4784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халықты жұмыспен қамту саласындағы азаматтарды әлеуметтік қорғау
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Қашыр аудандық әкімдігінің 2009 жылғы 18 мамырдағы N 144/4 қаулысы. Павлодар облысы Қашыр ауданының Әділет басқармасында 2009 жылғы 27 мамырда N 12-8-70 тіркелген. Күші жойылды - Павлодар облысы Качир аудандық әкімдігінің 2010 жылғы 3 маусымдағы N 168/4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Качир аудандық әкімдігінің 2010.06.03 N 168/4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"Халықты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йкес,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аусыз санатта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мыссыздарын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амтуда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мек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сатында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топтарына жататын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рігерлік–консультативтік комиссиясыны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тамалары бойынша шектеулері бар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бірде-бір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істейтін отбасы мүшесі жо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аз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амтылған отбасылардағы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"Качир ауданының N 11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сіптік лицейі" мемлекеттік мекемесінің,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қаласының кәсіптік лицейлері, колледждерінің, студенттері мен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ушыларына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 мен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сіпорындарда екі айлы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ту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лемінің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Сына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ту "Качир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лімі" мемлекеттік мекемесінің жолдамасы бойынша іске  асырылады,төлеу "Ж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бағдарламасы. Тұрғындарды жұмыспен қамту саласында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азаматтарды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қосымша шаралар" 002.102 бағ</w:t>
      </w:r>
      <w:r>
        <w:rPr>
          <w:rFonts w:ascii="Times New Roman"/>
          <w:b w:val="false"/>
          <w:i w:val="false"/>
          <w:color w:val="000000"/>
          <w:sz w:val="28"/>
        </w:rPr>
        <w:t>дарламасы бойынша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Качир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29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уірдегі "2008 жылы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амту саласында азаматтарды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ніндегі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 іс-шаралар туралы" N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137/4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рет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ннен бастап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А.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. Марданова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Качир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18 мамырда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144/4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Павлодар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аласыны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сіптік лицейлері,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колледждері, "Качир ауданыны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N 11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лицей" мемлекеттік мекемелеріні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студенттері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 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ушыларына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 мен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сіпорындарда екі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сына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тан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ту 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ысыны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52"/>
        <w:gridCol w:w="1386"/>
        <w:gridCol w:w="4922"/>
      </w:tblGrid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атаулары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лшері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заңнамаларымен белгіленген ең аз еңбек ақы мөлшерінің 50 %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некерлеуші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заңнамаларымен белгіленген ең аз еңбек ақы мөлшерінің 50 %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алаушы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заңнамаларымен белгіленген ең аз еңбек ақы мөлшерінің 50 %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заңнамаларымен белгіленген ең аз еңбек ақы мөлшерінің 50 %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