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fd8b" w14:textId="796f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2009 жылғы 14 сәуірдегі N 8/10 шешімі. Павлодар облысы Лебяжі ауданының Әділет басқармасында 2009 жылғы 29 сәуірде N 89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 бабы 1 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ставкалары Қазақстан Республикасы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 баптарымен белгіленген жер салығының ставкаларынан 50 пайызға жерлердің келесі санаттары бойынша жоғарлатылсын: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ауылшаруашылық мақсатындағы жерлерге;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берілген ауылшаруашылық мақсатындағы жерлерге;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жерлеріне (үй іргесіндегі жер учаскелерін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мекендерден тыс орналасқан өнеркәсіп жерлеріне.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2003 жылғы 15 қаңтардағы "Жер салығының ставкаларын бекіту туралы" N 4/17 шешімінің (нормативтік құқықтық актілерді мемлекеттік тіркеу тізілімінде N 1614 тіркелген, аудандық "Аққу үні" газетінде 2003 жылдың 12 ақпанда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Шаймарданов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  мәслихат                         М. Смагұлов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