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7d6e" w14:textId="0cc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 Тоқшын ауылдық округі Тоқшын ауылы шекараларының өзгеруі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 мен Аққайың аудандық мәслихатының 2009 жылғы 22 маусымдағы біріккен N 151 қаулысы мен шешімі. Солтүстік Қазақстан облысы Аққайың ауданының Әділет басқармасында 2009 жылғы 23 шілдеде N 13-2-105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"селолық", "селосы", "селосының", "біріккен" сөздері тиісінше "ауылдық", "ауылы", "ауылының", "бірлескен" деген сөздерімен ауыстырылды - Солтүстік Қазақстан облысы Аққайың ауданы әкімдігінің 25.12.2018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Солтүстік Қазақстан облысы Аққайың ауданы мәслихатының 25.12.2018 № 27-16 (алғашқы ресми жарияланған күнінен кейін күнтізбелік он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облысы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Солтүстік Қазақстан облысы Аққайың ауданы әкімдігінің 25.12.2018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Солтүстік Қазақстан облысы Аққайың ауданы мәслихатының 25.12.2018 № 27-16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Аққайың ауданы Тоқшын ауылдық округі Тоқшын ауылы шекараларының келесі өзгерістері жасалсын: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жолақтарының шекараларына қосумен көлемі 12 гектар жер учаскелері Тоқшын ауылының шегінен алынып тасталсын;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көлігінің жерлерінен көлемі 15 гектар жер учаскелері Тоқшын ауылының шегіне қосылсын;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алқаптар бойынша Тоқшын ауылы шектерінің 2905 гектар ақырғы ауданы анықталсын.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біріккен шешімі мен аудандық әкімдіктің қаулысы Қазақстан Республикасының әділет органдарында мемлекеттік тіркелген күннен бастап күшіне енеді және бұқаралық ақпарат </w:t>
      </w:r>
      <w:r>
        <w:rPr>
          <w:rFonts w:ascii="Times New Roman"/>
          <w:b w:val="false"/>
          <w:i w:val="false"/>
          <w:color w:val="000000"/>
          <w:sz w:val="28"/>
        </w:rPr>
        <w:t>құралдарында бірінші ресми жарияланған кезден бастап 10 күнтізбелік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және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2009 жылғы 22 маусымдағы Аққайың аудандық мәслихаттың № 14-7 шешімі мен Аққайың аудандық әкімдігінің № 151 қаулысына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Тоқшын ауылдық округінде Тоқшын ауылы жер орналастыру жоба Экспликациясы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1427"/>
        <w:gridCol w:w="1427"/>
        <w:gridCol w:w="833"/>
        <w:gridCol w:w="833"/>
        <w:gridCol w:w="536"/>
        <w:gridCol w:w="1428"/>
        <w:gridCol w:w="1131"/>
        <w:gridCol w:w="1428"/>
        <w:gridCol w:w="538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қолданушы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атауы</w:t>
            </w:r>
          </w:p>
          <w:bookmarkEnd w:id="7"/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 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</w:p>
          <w:bookmarkEnd w:id="8"/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 бекітіл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  <w:bookmarkEnd w:id="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лымдар</w:t>
            </w:r>
          </w:p>
          <w:bookmarkEnd w:id="10"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  <w:bookmarkEnd w:id="11"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а/ш алқаптары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  <w:bookmarkEnd w:id="1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с. (2005ж. жобасы бойынша)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с. жерлерінен алынып тасталады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ООТЖ жерлеріне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с. шегіне қосылады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ООТЖ жерлеріне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жоба бойынша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255"/>
        <w:gridCol w:w="595"/>
        <w:gridCol w:w="1255"/>
        <w:gridCol w:w="924"/>
        <w:gridCol w:w="1255"/>
        <w:gridCol w:w="1255"/>
        <w:gridCol w:w="1255"/>
        <w:gridCol w:w="1255"/>
        <w:gridCol w:w="1135"/>
        <w:gridCol w:w="596"/>
        <w:gridCol w:w="9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 қолданушылар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батпақтар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  <w:bookmarkEnd w:id="16"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  <w:bookmarkEnd w:id="17"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с.і.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зендер,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  <w:bookmarkEnd w:id="19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зендер</w:t>
            </w:r>
          </w:p>
          <w:bookmarkEnd w:id="20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су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йың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сі" мм</w:t>
            </w:r>
          </w:p>
          <w:bookmarkEnd w:id="2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су" РМК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  <w:bookmarkEnd w:id="23"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24"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