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521e" w14:textId="aaf5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Шоқпартоғай селосы көшелеріне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селолық округі әкімінің 2009 жылғы 1 қазандағы № 16 шешімі. Жылыой аудандық әділет департаментінде 2009 жылғы 16 қазанда № 4-2-128 тіркелді. Күші жойылды - Атырау облысы Жылыой ауданы Қара Арна селолық округі әкімінің 2010 жылғы 1 маусымдағы № 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Атырау облысы Жылыой ауданы Қара Арна селолық округі әкімінің 01.06.2010 № </w:t>
      </w:r>
      <w:r>
        <w:rPr>
          <w:rFonts w:ascii="Times New Roman"/>
          <w:b w:val="false"/>
          <w:i w:val="false"/>
          <w:color w:val="ff0000"/>
          <w:sz w:val="28"/>
        </w:rPr>
        <w:t>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облыс әкімиятының 2009 жылғы 7 шілдедегі № 162 "Атырау облысының елді мекендерінің құрамдас бөліктеріне атау беру және қайта атауын, жер учаскелеріне, ғимараттар мен құрылыстарға реттік номерлер беру талаптарын белгілеу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аудандық ономастикалық комиссияның 2009 жылғы 21 қыркүйектегі № 7 шешіміне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Қара-Арна селолық округінің Шоқпартоғай селосы көшелеріне төмендегі елге танымал адамдар мен жер су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Шоқпартоғай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– Жаңажол;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– Алға;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– Қызылтаң;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 – Ақтайлақ;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– Досының 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 – Тайкеткен;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7 – Қазақстан;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 – Ракөш;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 – Иманғара;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 – Жұбан тамы;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 – Қызыл дихан;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 – Құлманбет Жамансарыұлы;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 – Қойқара;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14 – Жаршық;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15 – Ақжал.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Берілген көше атауын тұрғындарға оларды ауылдағы үлгілі көшеге айналдыру, көше тәртібі мен тазалығын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 әкімі Е. Елеусінов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