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f252" w14:textId="712f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тұрғындарының нысаналы топтарға жататын тұлғалардың 
қосымша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2009 жылғы 11 маусымдағы N 136 қаулысы. Шығыс Қазақстан облысы Әділет департаментінің Көкпекті аудандық Әділет басқармасында 2009 жылғы 10 шілдеде N 5-15-54 тіркелді. Күші жойылды - Көкпекті ауданы әкімдігінің 2011 жылғы 17 мамырдағы N 1066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Көкпекті ауданы әкімдігінің 2011.05.17  N 1066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бабтарына, Қазақстан Республикасы Үкіметінің 2009 жылғы 6 наурыздағы № 264 «Мемлекет Басшысының 2009 жылғы 6 наурыздағы «Дағдарыстан жаңару мен дамуға» атты Қазақстан халқына Жолдауын іске асыру жөніндегі шаралар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Шығыс Қазақстан облысы әкімдігінің 2009 жылғы 22 мамырдағы «Шығыс Қазақстан облысы тұрғындарының нысаналы топтарға жататын адамдарының қосымша тізбесі туралы» № 75 қаулысына сәйкес жұмысқа орналасу бойынша қиыншылықты көріп отырған халықтың нысаналы топтарды әлеуметтік қорғау жөнінде қосымша шараларды орналастыру мақсатында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түрғындарының нысаналы топтарға жататын тұлғалардың келесі қосымша тізбесі орналастырылсын: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мен кәсіптік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өндірісті ұйымдастырудың өзгеруіне, соның ішінде қайта ұйымдастыру және жұмыс көлемінің қысқаруына байланысты толық емес жұмыс күн режимінде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еңбекақысы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жазғы каникул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55 жастан асқан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ұзақ уақыт (бір жылдан астам)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  орынбасары Г. Т. Қойгелдинаға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рет ресми түрде жарияланғаннан кейін он күнтізбелік күн өткеннен кейін қолданысқа енгізіледі және 2009 жылы 1 маусымында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Д.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