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9f2c" w14:textId="a209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2010 жылғы 3 наурыздағы № 01-01-07/34 және Қазақстан Республикасы Экономика және бюджеттік жоспарлау министрінің 2010 жылғы 10 наурыздағы № 127 Бірлескен бұйрығы. Қазақстан Республикасы Әділет министрлігінде 2010 жылғы 2 сәуірде Нормативтік құқықтық кесімдерді мемлекеттік тіркеудің тізіліміне N 6146 болып енгізілді. Күші жойылды - Қазақстан Республикасы Туризм және спорт министрінің 2011 жылғы 14 сәуірдегі № 02-02-18/56 және Қазақстан Республикасы Экономикалық даму және сауда министрінің м.а. 2011 жылғы 16 мамырдағы № 134 бірлескен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2011.04.14 № 02-02-18/56 және ҚР Экономикалық даму және сауда министрінің м.а. 2011.05.16 № 134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1-тармағына</w:t>
      </w:r>
      <w:r>
        <w:rPr>
          <w:rFonts w:ascii="Times New Roman"/>
          <w:b w:val="false"/>
          <w:i w:val="false"/>
          <w:color w:val="000000"/>
          <w:sz w:val="28"/>
        </w:rPr>
        <w:t xml:space="preserve"> және «Дене шынықтыру және спорт туралы» Қазақстан Республикасы Заңының 23-бабының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Спорт комитеті (А.Қ. Құлназаров):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Туризм және спорт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Туризм және спорт вице-министрі Т.А. Ермегияевке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ресми бірінші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Туризм және спорт министрі       Экономика және бюджеттік</w:t>
      </w:r>
      <w:r>
        <w:br/>
      </w:r>
      <w:r>
        <w:rPr>
          <w:rFonts w:ascii="Times New Roman"/>
          <w:b w:val="false"/>
          <w:i w:val="false"/>
          <w:color w:val="000000"/>
          <w:sz w:val="28"/>
        </w:rPr>
        <w:t>
</w:t>
      </w:r>
      <w:r>
        <w:rPr>
          <w:rFonts w:ascii="Times New Roman"/>
          <w:b w:val="false"/>
          <w:i/>
          <w:color w:val="000000"/>
          <w:sz w:val="28"/>
        </w:rPr>
        <w:t>      ________ Т. Досмұхамбетов        жоспарлау министрі</w:t>
      </w:r>
      <w:r>
        <w:br/>
      </w:r>
      <w:r>
        <w:rPr>
          <w:rFonts w:ascii="Times New Roman"/>
          <w:b w:val="false"/>
          <w:i w:val="false"/>
          <w:color w:val="000000"/>
          <w:sz w:val="28"/>
        </w:rPr>
        <w:t>
</w:t>
      </w:r>
      <w:r>
        <w:rPr>
          <w:rFonts w:ascii="Times New Roman"/>
          <w:b w:val="false"/>
          <w:i/>
          <w:color w:val="000000"/>
          <w:sz w:val="28"/>
        </w:rPr>
        <w:t>                                       _____________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xml:space="preserve">
№ 01-01-07/34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10 наурыздағы     </w:t>
      </w:r>
      <w:r>
        <w:br/>
      </w:r>
      <w:r>
        <w:rPr>
          <w:rFonts w:ascii="Times New Roman"/>
          <w:b w:val="false"/>
          <w:i w:val="false"/>
          <w:color w:val="000000"/>
          <w:sz w:val="28"/>
        </w:rPr>
        <w:t xml:space="preserve">
№ 127 бірлескен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Дене шынықтыру және спорт саласындағы тәуекел дәрежесін бағалау критерийлері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Дене шынықтыру және спорт саласындағы тәуекел дәрежесін бағалау критерийлері (бұдан әрі - критерийлер) білім беру ұйымдарындағы қызметті қоспағанда, осы қызметке арналған лицензияның негізінде дене шынықтыру-сауықтыру, спорттық қызметтер көрсететін жеке және заңды тұлғалардың (бұдан әрі - жеке және заңды тұлғалар) өңірлер бойынша жоспарлы тексерулер өткізу үшін жеке және заңды тұлғаларды іріктеу мақсатында жоғары, орта және болмашы тәуекел санаттары бойынша тәуекел дәрежесін анықтау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критерийде келесі түсінік қолданылған, тәуекел – тұрақты білікті жаттықтырушы-оқытушы құрамы болмауына, тұрақты медициналық қызметті көрсете алмауынан, спорт ғимараттарының жабдықтары мен мүліктерінің тозуынан қызметті жеке және заңды тұлғалардың көрсете алмауы салдарынан адамның өміріне немесе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дәрежесіне қарай жеке және заңды тұлғалар жоғары, орташа немесе болмашы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4. Ең алдымен жеке және заңды тұлғалар дене шынықтыру-сауықтыру және спорттық қызметтерді санаттары бар спорт ғимараттарында көрсетуіне байланысты тәуекел деңгейі айқындалады:</w:t>
      </w:r>
      <w:r>
        <w:br/>
      </w:r>
      <w:r>
        <w:rPr>
          <w:rFonts w:ascii="Times New Roman"/>
          <w:b w:val="false"/>
          <w:i w:val="false"/>
          <w:color w:val="000000"/>
          <w:sz w:val="28"/>
        </w:rPr>
        <w:t>
</w:t>
      </w:r>
      <w:r>
        <w:rPr>
          <w:rFonts w:ascii="Times New Roman"/>
          <w:b w:val="false"/>
          <w:i w:val="false"/>
          <w:color w:val="000000"/>
          <w:sz w:val="28"/>
        </w:rPr>
        <w:t>
      1) жоғары тәуекел дәрежесі тобына жоғары санатты спорт ғимараттарында дене шынықтыру және спорттық қызметтерді көрсететін заңды тұлғалар жатқызылған.</w:t>
      </w:r>
      <w:r>
        <w:br/>
      </w:r>
      <w:r>
        <w:rPr>
          <w:rFonts w:ascii="Times New Roman"/>
          <w:b w:val="false"/>
          <w:i w:val="false"/>
          <w:color w:val="000000"/>
          <w:sz w:val="28"/>
        </w:rPr>
        <w:t>
      Жоғары санаттағы спорт ғимараттарына – негізгі параметрлері халықаралық жарыстарды (әлем, Азия, Еуропа чемпионаттары, әлем кубогінің кезеңдері, Қазақстан Республикасы Президентінің кубогі үшін «А» дәрежелі халықаралық турнирлер және басқа жарыстар) өткізуге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2) орташа тәуекел дәрежелі топқа – бірінші санатты спорт ғимараттарында дене шынықтыру және спорт қызметтерін көрсететін заңды тұлғалар жатады.</w:t>
      </w:r>
      <w:r>
        <w:br/>
      </w:r>
      <w:r>
        <w:rPr>
          <w:rFonts w:ascii="Times New Roman"/>
          <w:b w:val="false"/>
          <w:i w:val="false"/>
          <w:color w:val="000000"/>
          <w:sz w:val="28"/>
        </w:rPr>
        <w:t>
      Бірінші санаттағы спорт ғимараттарына негізгі параметрлері республикалық жарыстарды (Қазақстан Республикасының Спартакиадасы, чемпионаттар, біріншіліктер, кубоктар, республикалық турнирлер және басқа жарыстар) өткізуге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3) болмашы тәуекел дәрежелі топқа – екінші және үшінші санатты спорт ғимараттарында дене шынықтыру және спорттық қызметтерді көрсететін заңды тұлғалар, сонымен қатар спорт түрлерін дамытуға, спортшыларды жарыстарға қатысуға дайындауға бағытталған қызметті жүзеге асыратын спорт түрлері бойынша федерациялар жатады.</w:t>
      </w:r>
      <w:r>
        <w:br/>
      </w:r>
      <w:r>
        <w:rPr>
          <w:rFonts w:ascii="Times New Roman"/>
          <w:b w:val="false"/>
          <w:i w:val="false"/>
          <w:color w:val="000000"/>
          <w:sz w:val="28"/>
        </w:rPr>
        <w:t>
      Екінші санатқа өзінің көлемі мен жарақтандырылуы бойынша негізгі параметрлері бұқаралық дене шынықтыру-сауықтыру және спорттық жаттығуларға немесе жаппай жарыстар өткізуге мүмкіндік беретін ғимараттар жатады.</w:t>
      </w:r>
      <w:r>
        <w:br/>
      </w:r>
      <w:r>
        <w:rPr>
          <w:rFonts w:ascii="Times New Roman"/>
          <w:b w:val="false"/>
          <w:i w:val="false"/>
          <w:color w:val="000000"/>
          <w:sz w:val="28"/>
        </w:rPr>
        <w:t>
      Үшінші санатқа ғимараттық параметрлері дене шынықтыру-сауықтыру жұмыстарын жүргізуге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5. Бұдан әрі, өткізілген тексерістер нәтижесіндегі алған баллдар сомасына сәйкес тәуекел дәрежесінің критерийлері негізінде жеке және заңды тұлғалар тиісті тәуекел топтарына жатады.</w:t>
      </w:r>
      <w:r>
        <w:br/>
      </w:r>
      <w:r>
        <w:rPr>
          <w:rFonts w:ascii="Times New Roman"/>
          <w:b w:val="false"/>
          <w:i w:val="false"/>
          <w:color w:val="000000"/>
          <w:sz w:val="28"/>
        </w:rPr>
        <w:t>
</w:t>
      </w:r>
      <w:r>
        <w:rPr>
          <w:rFonts w:ascii="Times New Roman"/>
          <w:b w:val="false"/>
          <w:i w:val="false"/>
          <w:color w:val="000000"/>
          <w:sz w:val="28"/>
        </w:rPr>
        <w:t>
      6. Алған баллдар сомасы жеке және заңды тұлғалардың тиісті тәуекел тобына өтуіне негіздеме болып табылады:</w:t>
      </w:r>
      <w:r>
        <w:br/>
      </w:r>
      <w:r>
        <w:rPr>
          <w:rFonts w:ascii="Times New Roman"/>
          <w:b w:val="false"/>
          <w:i w:val="false"/>
          <w:color w:val="000000"/>
          <w:sz w:val="28"/>
        </w:rPr>
        <w:t>
      жоспарланған тексерістер нәтижелері бойынша 14 баллдан жоғары алған жеке және заңды тұлғалар жоғары тәуекел тобына жатады;</w:t>
      </w:r>
      <w:r>
        <w:br/>
      </w:r>
      <w:r>
        <w:rPr>
          <w:rFonts w:ascii="Times New Roman"/>
          <w:b w:val="false"/>
          <w:i w:val="false"/>
          <w:color w:val="000000"/>
          <w:sz w:val="28"/>
        </w:rPr>
        <w:t>
      жоспарланған тексерістер нәтижелері бойынша 4-тен 13 балл алған жеке және заңды тұлғалар орта тәуекел тобына жатады;</w:t>
      </w:r>
      <w:r>
        <w:br/>
      </w:r>
      <w:r>
        <w:rPr>
          <w:rFonts w:ascii="Times New Roman"/>
          <w:b w:val="false"/>
          <w:i w:val="false"/>
          <w:color w:val="000000"/>
          <w:sz w:val="28"/>
        </w:rPr>
        <w:t>
      жоспарланған тексерістер нәтижелері бойынша 0-ден 3 балл алған жеке және заңды тұлғалар болмашы тәуекел тобына жатады.</w:t>
      </w:r>
      <w:r>
        <w:br/>
      </w:r>
      <w:r>
        <w:rPr>
          <w:rFonts w:ascii="Times New Roman"/>
          <w:b w:val="false"/>
          <w:i w:val="false"/>
          <w:color w:val="000000"/>
          <w:sz w:val="28"/>
        </w:rPr>
        <w:t>
</w:t>
      </w:r>
      <w:r>
        <w:rPr>
          <w:rFonts w:ascii="Times New Roman"/>
          <w:b w:val="false"/>
          <w:i w:val="false"/>
          <w:color w:val="000000"/>
          <w:sz w:val="28"/>
        </w:rPr>
        <w:t>
      7. Мынадай есептелген баллдарға сәйкес тәуекел дәрежелерін айқындайтын критерийлер:</w:t>
      </w:r>
      <w:r>
        <w:br/>
      </w:r>
      <w:r>
        <w:rPr>
          <w:rFonts w:ascii="Times New Roman"/>
          <w:b w:val="false"/>
          <w:i w:val="false"/>
          <w:color w:val="000000"/>
          <w:sz w:val="28"/>
        </w:rPr>
        <w:t>
      дене шынықтырумен және спортпен жаттығу кезінде жарақат алғаны және зақымданғаны үшін – 10 балл;</w:t>
      </w:r>
      <w:r>
        <w:br/>
      </w:r>
      <w:r>
        <w:rPr>
          <w:rFonts w:ascii="Times New Roman"/>
          <w:b w:val="false"/>
          <w:i w:val="false"/>
          <w:color w:val="000000"/>
          <w:sz w:val="28"/>
        </w:rPr>
        <w:t>
      30 %-дан жоғары тозығы жеткен дене шынықтыру және спорттық объектілерде қызмет көрсеткені үшін – 7 балл;</w:t>
      </w:r>
      <w:r>
        <w:br/>
      </w:r>
      <w:r>
        <w:rPr>
          <w:rFonts w:ascii="Times New Roman"/>
          <w:b w:val="false"/>
          <w:i w:val="false"/>
          <w:color w:val="000000"/>
          <w:sz w:val="28"/>
        </w:rPr>
        <w:t>
      спорттық жабдықтары тозған дене шынықтыру және спорт объектілерінде қызмет көрсеткені үшін – 7 балл;</w:t>
      </w:r>
      <w:r>
        <w:br/>
      </w:r>
      <w:r>
        <w:rPr>
          <w:rFonts w:ascii="Times New Roman"/>
          <w:b w:val="false"/>
          <w:i w:val="false"/>
          <w:color w:val="000000"/>
          <w:sz w:val="28"/>
        </w:rPr>
        <w:t>
      тұрақты білікті жаттықтырушы-оқытушы құрамы болмағаны үшін – 7 балл;</w:t>
      </w:r>
      <w:r>
        <w:br/>
      </w:r>
      <w:r>
        <w:rPr>
          <w:rFonts w:ascii="Times New Roman"/>
          <w:b w:val="false"/>
          <w:i w:val="false"/>
          <w:color w:val="000000"/>
          <w:sz w:val="28"/>
        </w:rPr>
        <w:t>
      тұрақты медициналық қызмет көрсете алмағаны үшін – 4 балл;</w:t>
      </w:r>
      <w:r>
        <w:br/>
      </w:r>
      <w:r>
        <w:rPr>
          <w:rFonts w:ascii="Times New Roman"/>
          <w:b w:val="false"/>
          <w:i w:val="false"/>
          <w:color w:val="000000"/>
          <w:sz w:val="28"/>
        </w:rPr>
        <w:t>
      санитарлық-гигиеналық және өрт қауіпсіздігі нормаларына сәйкес келмейтін үй-жайларда дене шынықтыру және спорт қызметтерін көрсеткені үшін – 3 балл.</w:t>
      </w:r>
      <w:r>
        <w:br/>
      </w:r>
      <w:r>
        <w:rPr>
          <w:rFonts w:ascii="Times New Roman"/>
          <w:b w:val="false"/>
          <w:i w:val="false"/>
          <w:color w:val="000000"/>
          <w:sz w:val="28"/>
        </w:rPr>
        <w:t>
</w:t>
      </w:r>
      <w:r>
        <w:rPr>
          <w:rFonts w:ascii="Times New Roman"/>
          <w:b w:val="false"/>
          <w:i w:val="false"/>
          <w:color w:val="000000"/>
          <w:sz w:val="28"/>
        </w:rPr>
        <w:t>
      8. Бір тәуекел дәрежесіндегі топтың ішінде жеке және заңды тұлғаларды тексеру үшін алған баллдарының ең үлкен сомасы бірінші кезекте іріктеуге негіз болып табылады.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