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1660" w14:textId="22c1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бағалау қызметі саласындағы тәуекел дәрежесін бағалау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2010 жылғы 23 сәуірдегі N 138 және Қазақстан Республикасы Экономикалық даму және сауда министрiнiң 2010 жылғы 29 сәуірдегі N 17 Бірлескен Бұйрығы. Қазақстан Республикасы Әділет министрлігінде 2010 жылғы 2 маусымда Нормативтік құқықтық кесімдерді мемлекеттік тіркеудің тізіліміне N 6271 болып енгізілді. Күші жойылды - Қазақстан Республикасы Әділет министрінің 2011 жылғы 31 қазандағы № 355 және Қазақстан Республикасы Экономикалық даму және сауда министрдің м.а. 2011 жылғы 21 қазандағы N 341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Әділет министрінің 2011.10.31 № 355 және ҚР Экономикалық даму және сауда министрдің м.а. 2011.10.21 N 341 (ресми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«Жеке кәсіпкерлік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Кешенді және тақырыптық тексерулер бойынша тексеру парағының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құқықтық көмек көрсету комитеті (Ә.Т. Аманбаев):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тіркелуінен кейін оның ресми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министрлігінің интернет-ресурстарында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Әділет министрінің м.а.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Экономикалық даму және сауда </w:t>
      </w:r>
      <w:r>
        <w:rPr>
          <w:rFonts w:ascii="Times New Roman"/>
          <w:b w:val="false"/>
          <w:i/>
          <w:color w:val="000000"/>
          <w:sz w:val="28"/>
        </w:rPr>
        <w:t xml:space="preserve">________ </w:t>
      </w:r>
      <w:r>
        <w:rPr>
          <w:rFonts w:ascii="Times New Roman"/>
          <w:b w:val="false"/>
          <w:i/>
          <w:color w:val="000000"/>
          <w:sz w:val="28"/>
        </w:rPr>
        <w:t>Д. Құсдәулетов       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_______________Ж. Айтжанова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сәуірдегі № 138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2010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сәуірдегі № 17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Мүлікті бағалау қызметі саласындағы тәуекел дәрежесін бағалау критерийлері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Критерийлер мүлікті бағалау бойынша лицензиаттарды тәуекел дәрежесіне жатқызу мақсатында тәуекел көрсеткіштерін анықтау үшін «Жеке кәсіпкерлік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дайындалды.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келесі ұғымдар қолданылды: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– экономикалық қылмыстардың алғышарты, сондай-ақ қызметті тұтынушылардың, үшінші жақтың мүліктік мүддесіне қайшы бола алатын, жоқ объектіге немесе бағалау қызметі саласындағы 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актілердің</w:t>
      </w:r>
      <w:r>
        <w:rPr>
          <w:rFonts w:ascii="Times New Roman"/>
          <w:b w:val="false"/>
          <w:i w:val="false"/>
          <w:color w:val="000000"/>
          <w:sz w:val="28"/>
        </w:rPr>
        <w:t>, бағалау стандарттарының талаптарын бұза отырып, бағалау туралы есепте бағалау объектісінің нарықтық немесе өзге құнын бұрмалауға әкеп соғатын бұрыс деректерді пайдалана отырып, жүзеге асырылған бұрыс бағалау;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тәуекелді бағалау жүйесі – бақылау функциясын жүзеге асыруға уәкілетті мемлекеттік орган мүлікті бағалау бойынша лицензиаттарға тексерулерді жоспарлау мақсатында жүргізетін іс-шаралар кешені.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 дәрежесін бағалау критерийі – жеке кәсіпкерлік субъектілерін түрлі тәуекел дәрежесіне жатқызуға мүмкіндік беретін, лицензиаттың тікелей қызметімен байланысты, сандық және сапалық көрсеткіштер кешені.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бақылау субъектісі – мүлікті бағалау (зияткерлік меншік объектілерін, материалдық емес активтердің құнын қоспағанда), зияткерлік меншікті, материалдық емес активтердің құнын бағалау қызметін жүзеге асыру құқығына </w:t>
      </w:r>
      <w:r>
        <w:rPr>
          <w:rFonts w:ascii="Times New Roman"/>
          <w:b w:val="false"/>
          <w:i w:val="false"/>
          <w:color w:val="000000"/>
          <w:sz w:val="28"/>
        </w:rPr>
        <w:t>лицензиясы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бар заңды және жеке тұлға (бұдан әрі – Лицензиат).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Лицензиаттардың қызметінің тәуекелдерін бағалау мүлікті бағалау қызметі саласындағы жұмыс өтілі, мүлікті бағалау саласындағы заңнаманы бұзушылықтардың салалық статистикасы, сондай-ақ тексерулердің нәтижелері ескеріледі және келесі тәртіпте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мүлікті бағалау қызметі саласындағы жұмыс өтілі ескерілген субъектілерді тәуекел дәрежесі бойынша жіктеу;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мүлікті бағалау саласындағы заңнаманы бұзушылықтардың салалық статистикасын және тексерулердің нәтижелерін ескеріп, Лицензиат қызметінің сапалық көрсеткіштеріне сәйкес субъектілерді тәуекел дәрежесі бойынша жатқызу.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Мүлікті бағалау қызметі саласындағы жұмыс өтілі ескерілген субъектілерді тәуекел дәрежесі бойынша жіктеу: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маңыздылығы жоғары субъектілер - мүлікті бағалау қызметі саласындағы жұмыс өтілі 5 жылға дейінгі Лицензиаттар;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маңыздылығы орташа субъектілер - мүлікті бағалау қызметі саласындағы жұмыс өтілі 5 жылдан 10 жылға дейінгі Лицензиаттар;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маңыздылығы төмен субъектілер - мүлікті бағалау қызметі саласындағы жұмыс өтілі 10 жылдан жоғары Лицензиаттар.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Субъектілерді тәуекел дәрежесі бойынша жатқызу кезінде мүлікті бағалау қызметі саласындағы тәуекелдер дәрежесін бағалаудың сапалық критерийлеріне байланысты субъектілер қайта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Тәуекелді бағалау бар ақпаратты жүйелі қолдану жолымен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 органдары бұрынғы жоспарлы және жоспардан тыс тексерулердің деректерін, құқық қорғау органдары және соттар ұсынған мәліметтерін, заңды және жеке тұлғалардың өтініштері мен арыздарын, бағалаушылар палаталарынан алынған мәліметтерді сондай-ақ Лицензиаттардың қызметі туралы басқа құжаттарды және (немесе) мәліметтерді талдауды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Баллдар келесі критерийлерге сәйкес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бағалау жүргiзу шарттары бойынша Лицензиатта бұзушылықтардың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шарттардың нысаны мен мазмұны бойынша бұзушылықтардың болуы – 2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бағалау қызметі саласында заңнама тыйым салатын жағдайларда шартқа отыру – 3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бағалау есебі бойынша бұзушылықтардың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бағалау нәтижесіне әсер етпейтін есептердің нысаны мен мазмұны бойынша бұзушылықтардың болуы – 2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бағалау нәтижесіне әсер ететін есепке және әдістерге қойылатын талаптарды бұзу – 3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бұзушылықтардың қайталануы: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әкімшілік жаза қолданылғаннан кейін бір және одан көп жылдан кейін қайта жасалған бұзушылықтар – 2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әкімшілік жаза қолданылғаннан кейін бір жыл ішінде қайта жасалған бұзушылықтар – 3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лицензияның қолданылуын тоқтата тұру мерзімі аяқталғаннан кейін әкімшілік жауаптылыққа әкеп соққан лицензиялық ережелер мен нормаларды бұзуды жоймау – 3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бағалау жүргiзу шарттарының нөмiрлерi көрсетілген хронологиялық тәртiпте бағалау жүргiзу есептерiнiң кiтабын жүргiзубеуі –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бағалау туралы жасалған есептердi (5 жыл бойы) сақтау талабын ұстанбауы – 2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бағалаушылармен объектілерді тікелей зерттеуді жүзеге асырмауы – 3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азаматтық-құқықтық жауапкершілік туралы сақтандыру полисінің болмауы – 3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негізді арыздың болуы – 3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есепті заңды емес деп тануы туралы бір немесе одан көп сот шешімінің (бағалаушыға қатысты жеке ұйғарымның) болуы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Лицензиаттың лицензия алған кезде көрінеу дұрыс емес ақпарат беруі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бiлiктiлiк талаптарына сәйкес келмеуі – 20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Әр тәуекел критерийі бойынша шекті мөлшерде тиісті балл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Барлық критерийлер бойынша жалпы жиынтық қорытындыны анықтау үшін тәуекел критерийлері бойынша баллдар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Барлық критерийлер бойынша жиынтық қорытындының нәтижесі Лицензиаттарды тәуекел дәрежесі бойынша дифференциациялау үшін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Тәуекел дәрежесі бойынша Лицензиаттарды дифференциациялау келесі түрде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дәрежелі тәуекел – 21 баллдан жоғары;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дәрежелі тәуекел – 12-ден 20 баллға (қоса алғанда)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 дәрежелі тәуекел – 11 баллға дейін (қоса алғанда).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Бір тәуекел топтың ішінде жоспарлы тексеру жүргізуге Лицензиаттарды баллдардың көптігі принципі бойынша сұрыптау жүзеге асырылады.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