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ad94" w14:textId="199a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Қорғалжын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әкімдігінің 2010 жылғы 22 ақпандағы № 16 қаулысы. Ақмола облысы Қорғалжын ауданының Әділет басқармасында 2010 жылғы 10 наурызда № 1-15-142 тіркелді. Күші жойылды - Ақмола облысы Қорғалжын ауданы әкімдігінің 2011 жылғы 6 қаңтардағы № 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800000"/>
          <w:sz w:val="28"/>
        </w:rPr>
        <w:t xml:space="preserve"> Ескерту. Күші жойылды - Ақмола облысы Қорғалжын ауданы әкімдігінің 2011.01.06 № 2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қантарындағы 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Заңына, Қазақстан Республикасының 2001 жылғы 23 қантарындағы «Халықты жұмыспен қамту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№ 836 Қаулысымен бекітілген қоғамдық жұмыстарды ұйымдастыру мен қаржыландыру Ережесінің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2010 жылы Қорғалжын ауданының ұйымдарында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2010 жылы Қорғалжын ауданы бойынша ұйымдардың тізбесі,қоғамдық жұмыстардың түрлері, көлемі мен нақты жағдайлары, еңбекақы мөлшері және оларды қаржыландыру көзі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қаулының орындалуын бақылау аудан әкімінің орынбасары С.Қ.Аққожинаға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қаулы Қорғалжын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С.Қасенов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Қорғалжын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Т.О.Әшімов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шаруашылық министірлігінің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Орман және аң шаруашылығы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«Қорғалжын мемлекеттік табиғи қорығы»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директоры          М.С.Айтжанов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«Казпочта»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қоғамы «Астана почтамты»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Астана филиалының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Қорғалжын почта байланыс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торабының бастығы                          Е.Т.Мустафин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алжын ауданы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кімдігіні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22.02.2010 ж. №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жылы Қорғалжын ауданы бойынша ұйымдардың тізбесі, қоғамдық жұмыстардың түрлері,көлемі мен нақты жағдайлары, еңбекақы мөлшері және оларды қаржыландыру көзі.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5750"/>
        <w:gridCol w:w="3375"/>
        <w:gridCol w:w="3658"/>
      </w:tblGrid>
      <w:tr>
        <w:trPr>
          <w:trHeight w:val="1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</w:p>
        </w:tc>
      </w:tr>
      <w:tr>
        <w:trPr>
          <w:trHeight w:val="6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 шаршы метр</w:t>
            </w:r>
          </w:p>
        </w:tc>
      </w:tr>
      <w:tr>
        <w:trPr>
          <w:trHeight w:val="1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«Арықты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 шаршы метр</w:t>
            </w:r>
          </w:p>
        </w:tc>
      </w:tr>
      <w:tr>
        <w:trPr>
          <w:trHeight w:val="1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«Қарашалғын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 шаршы метр</w:t>
            </w:r>
          </w:p>
        </w:tc>
      </w:tr>
      <w:tr>
        <w:trPr>
          <w:trHeight w:val="1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«Кенбидайық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 шаршы метр</w:t>
            </w:r>
          </w:p>
        </w:tc>
      </w:tr>
      <w:tr>
        <w:trPr>
          <w:trHeight w:val="1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 шаршы метр</w:t>
            </w:r>
          </w:p>
        </w:tc>
      </w:tr>
      <w:tr>
        <w:trPr>
          <w:trHeight w:val="1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«Қорғалжын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 шаршы метр</w:t>
            </w:r>
          </w:p>
        </w:tc>
      </w:tr>
      <w:tr>
        <w:trPr>
          <w:trHeight w:val="1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«Коммуна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 шаршы метр</w:t>
            </w:r>
          </w:p>
        </w:tc>
      </w:tr>
      <w:tr>
        <w:trPr>
          <w:trHeight w:val="1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«Сабынды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 шаршы метр</w:t>
            </w:r>
          </w:p>
        </w:tc>
      </w:tr>
      <w:tr>
        <w:trPr>
          <w:trHeight w:val="1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құқығына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«Өрлеу»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кәсіпорны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74,1 шаршы метр</w:t>
            </w:r>
          </w:p>
        </w:tc>
      </w:tr>
      <w:tr>
        <w:trPr>
          <w:trHeight w:val="1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Қорғалжын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қорғаныс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 шаршы метр</w:t>
            </w:r>
          </w:p>
        </w:tc>
      </w:tr>
      <w:tr>
        <w:trPr>
          <w:trHeight w:val="1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«Қорғалжын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қорығы»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шаршы метр</w:t>
            </w:r>
          </w:p>
        </w:tc>
      </w:tr>
      <w:tr>
        <w:trPr>
          <w:trHeight w:val="1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«Казпочта» акционерлік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қоғамы «Астана почтамты»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филиалының Қорғалжын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почта байланыс торабы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шаршы метр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3"/>
        <w:gridCol w:w="5313"/>
        <w:gridCol w:w="3984"/>
      </w:tblGrid>
      <w:tr>
        <w:trPr>
          <w:trHeight w:val="120" w:hRule="atLeast"/>
        </w:trPr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жағдайлары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 мөлшері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120" w:hRule="atLeast"/>
        </w:trPr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мөлшерінен кем емес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мөлшерінен кем емес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мөлшерінен кем емес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мөлшерінен кем емес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мөлшерінен кем емес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мөлшерінен кем емес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мөлшерінен кем емес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мөлшерінен кем емес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мөлшерінен кем емес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мөлшерінен кем емес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мөлшерінен кем емес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 шарты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мөлшерінен кем емес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