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4a8" w14:textId="ba40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Парковый тұйық көшесінің атын өзгерту және оған Ж. Төлендиновтің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Балқаш қалалық әкімдігінің 2010 жылғы 21 қазандағы N 35/02 қаулысы және Балқаш қалалық мәслихатының 2010 жылғы 24 желтоқсандағы 39/306 шешімі. Қарағанды облысы Балқаш қаласының Әділет басқармасында 2011 жылғы 14 қаңтарда N 8-4-214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комиссиясының шешімінің негізінде, Парковый тұйық көшесі тұрғындарының пікірлерін ескеріп, Қазақстан Республикасының еңбек сіңірген мәдениет қызметкері, Балқаш қаласының Құрметті азаматы Төлендинов Жазбек Сәтімбекұлының зор еңбегін ескере отырып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Парковый тұйық көшесінің аты өзгертілсін және оған Ж. Төлендиновтың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бірлескен қаулының және шешімнің орындалуын бақылау қала әкімінің орынбасары М.С. Жарылғапқа және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бірлескен қаулы және шешім алғашқы рет ресми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Қойбағарова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Сторожко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