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5cbd" w14:textId="eaf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2010 жылғы 12 ақпандағы "Қоғамдық жұмыстарды ұйымдастыру туралы" N 02/24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2010 жылғы 1 желтоқсандағы N 17-01 қаулысы. Қарағанды облысы Ақтоғай ауданының Әділет басқармасында 2010 жылғы 22 желтоқсанда N 8-10-125 тіркелді. Қабылданған мерзімінің бітуіне байланысты қолданылуы тоқтатылды (Қарағанды облысы Ақтоғай ауданы әкімінің аппаратының 2011 жылғы 27 сәуірдегі N 5-1/193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қолданылуы тоқтатылды (Қарағанды облысы Ақтоғай ауданы әкімінің аппаратының 2011.04.27 N 5-1/193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 ережесіне"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Ақтоғай ауданы әкімдігінің 2010 жылғы 12 ақпандағы "Қоғамдық жұмыстарды ұйымдастыру туралы" N 02/24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8-10-101 болып тіркелген, 2010 жылғы 26 ақпандағы "Тоқырауын тынысы" газетінің N 8 (7226)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"1263784" сандары "2506784"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2010 жылғы 01 желтоқсаннан бастап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Ғ.И.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