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a826" w14:textId="aaaa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кәсіпкерлік қызметтің жекелеген түрлеріне арналған жиынтық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2010 жылғы 26 қаңтардағы N 222 шешімі. Қарағанды облысы Осакаров ауданының Әділет басқармасында 2010 жылғы 03 ақпанда N 8-15-117 тіркелді. Мерзімінің өтуіне байланысты қолданылуы тоқтатылды (Қарағанды облысы Осакаров аудандық мәслихаты аппаратының 2011 жылғы 20 сәуірдегі N 2-35/86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Мерзімінің өтуіне байланысты қолданылуы тоқтатылды (Қарағанды облысы Осакаров аудандық мәслихаты аппаратының 2011.04.20 N 2-35/86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10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419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422 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2010 жылға кәсіпкерлік қызметтің жекелеген түрлеріне арналған жиынтық салық ставкаларын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орындалуына бақылау жасау аудандық мәслихаттың ауданның бюджеттік саясаты мен әлеуметтік–экономикалық дамуы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                                      Қ. Саққұлақов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27 сессиясының N 222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2010 жылға кәсіпкерлік қызметтің </w:t>
      </w:r>
      <w:r>
        <w:rPr>
          <w:rFonts w:ascii="Times New Roman"/>
          <w:b/>
          <w:i w:val="false"/>
          <w:color w:val="000080"/>
          <w:sz w:val="28"/>
        </w:rPr>
        <w:t>жекелеген түрлеріне арналған жиынтық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5715"/>
        <w:gridCol w:w="6288"/>
      </w:tblGrid>
      <w:tr>
        <w:trPr>
          <w:trHeight w:val="12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айдың тіркелген жиынтық салық ставкасы АЕК* 1 айда</w:t>
            </w:r>
          </w:p>
        </w:tc>
      </w:tr>
      <w:tr>
        <w:trPr>
          <w:trHeight w:val="12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ақшасыз ұтыс ойын автоматы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арналған, ақшасыз ұтыс ойын автоматы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жеке компьютер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*АЕК–айлық есептеу көрсеткіші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