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30c2" w14:textId="2cc3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22 сәуірдегі № 112 "Қазақстан Республикасының Қарулы Күштеріне? басқа әскерлеріне және іскери құрылымдарына азаматтарды 2010 жылдың сәуір-маусымында жіне қазан-желтоқсанында кезекті шақыруды жүргізуді ұйымдастыру және қамтамасыз ету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2010 жылғы 1 қыркүйектегі № 254 қаулысы. Қостанай облысы Әулиекөл ауданының Әділет басқармасында 2010 жылғы 17 қыркүйекте № 9-7-122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22 сәуірдегі 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Қарулы Күштеріне, басқа әскерлеріне және әскери құрылымдарына азаматтарды 2010 жылдың сәуір–маусымында және қазан–желтоқсанында кезекті шақыруды жүргізуді ұйымдастыру және қамтамасыз ету туралы" қаулысына (нормативтік құқықтық актілерді мемлекеттік тіркеу Тізілімінде № 9-7-119 тіркелген, "Әулиекөл" газетінде 2010 жылғы 20 мамырда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Әулиекөл ауданының әкімі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Әулиекөл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Әбдіқалықов Қайрат Әмірғалиұлы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Түгелбаев Марат Теңізбайұлы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"Әулиекөл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Шульгин Сергей Владимирович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