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0a7b" w14:textId="8430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арналған білім беру мамандарына әлеуметтік қолдау шараларын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2010 жылғы 16 сәуірдегі N 25/6-IV шешімі. Шығыс Қазақстан облысы Әділет департаментінің Риддер қалалық әділет басқармасында 2010 жылғы 21 мамырда № 5-4-130 тіркелді. Күші жойылды - қабылданған мерзімінің бітуіне байланысты (Риддер қалалық мәслихатының 2011 жылғы 05 қаңтардағы № 02/04-10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қабылданған мерзімінің бітуіне байланысты (Риддер қалалық мәслихатының 2011 жылғы 05 қаңтардағы № 02/04-10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№ 66 «Агроөнеркәсіптік кешенді және ауылдық аумақтарды дамытуды мемлекеттік реттеу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18 ақпандағы № 183 «Ауылдық елді мекендерге жұмыс істеу және тұру үшін келген денсаулық сақтау, білім беру, әлеуметтік қамсыздандыру, мәдениет және спорт мамандарына әлеуметтік қолдау шараларын ұсыну мөлшерін және Ережесін бекіту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Риддер қаласының ауылдық елді мекендеріне жұмыс істеу және тұру үшін келген, білім беру мамандарына: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жетпіс есептік </w:t>
      </w:r>
      <w:r>
        <w:rPr>
          <w:rFonts w:ascii="Times New Roman"/>
          <w:b w:val="false"/>
          <w:i w:val="false"/>
          <w:color w:val="000000"/>
          <w:sz w:val="28"/>
        </w:rPr>
        <w:t>айлық есептік көрсеткішіне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тең сомада көтерме жәрдемақы;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тұрғын үй сатып алу үшін әлеуметтік қолдау – алты жүз отыз есептік айлық есептік көрсеткіштен аспайтын сомада бюджеттік кредит.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сессияның төрағасы             О. Солонников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маслихат хатшысы               А. Ермаков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