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6829" w14:textId="39f6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01-02/21-2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26 қазандағы N 01-02/28-6 шешімі. Шығыс Қазақстан облысы Әділет департаментінің Аягөз аудандық әділет басқармасында 2010 жылғы 05 қарашада N 5-6-121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 жылғы 22 қазандағы № 24/298-ІV «2010-2012 жылдарға арналған облыстық бюджет туралы» 21 желтоқсандағы № 17/222-IV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(2010 жылғы 28 қазандағы нормативтік құқықтық актілерді мемлекеттік тіркеу тізілімінде 2537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Аягөз аудандық мәслихатының 2009 жылғы 25 желтоқсандағы № 01-02/21-2 «2010-2012 жылдарға арналған аудандық бюджет туралы» (2010 жылғы 11 қаңтарында нормативтік құқықтық актілерді мемлекеттік тіркеу тізілімінде 5-6-100 нөмірімен тіркелген, “Аягөз жаңалықтары” газетінің 2010 жылғы 16 қаңтардағы № 3-4 (9907-9908)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осы шешіммен өзгерістер енгізілді: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«3660201,0» деген сандар «3665219,0» сандармен ауыстырылсын;</w:t>
      </w:r>
      <w:r>
        <w:br/>
      </w:r>
      <w:r>
        <w:rPr>
          <w:rFonts w:ascii="Times New Roman"/>
          <w:b w:val="false"/>
          <w:i w:val="false"/>
          <w:color w:val="000000"/>
          <w:sz w:val="28"/>
        </w:rPr>
        <w:t>
      «2371527,0» деген сандар «2376545,0»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«3581963,2» деген сандар «3581131,2»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«3561,0» деген сандар «3521,0» сандармен ауыстырылсын.</w:t>
      </w:r>
      <w:r>
        <w:br/>
      </w:r>
      <w:r>
        <w:rPr>
          <w:rFonts w:ascii="Times New Roman"/>
          <w:b w:val="false"/>
          <w:i w:val="false"/>
          <w:color w:val="000000"/>
          <w:sz w:val="28"/>
        </w:rPr>
        <w:t>
      Екінші азат жолдағы «3561,0» деген сөздер «3521,0 мың теңге» сөздерімен ауыстырылсын.</w:t>
      </w:r>
      <w:r>
        <w:br/>
      </w:r>
      <w:r>
        <w:rPr>
          <w:rFonts w:ascii="Times New Roman"/>
          <w:b w:val="false"/>
          <w:i w:val="false"/>
          <w:color w:val="000000"/>
          <w:sz w:val="28"/>
        </w:rPr>
        <w:t>
      «0,0» деген сандар «40,0» сандармен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«964,0» деген сандар «6814,0»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«73712,8» деген сандар «73752,8»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«-73712,8» деген сандар «-73752,8» сандармен ауыстырылсын;</w:t>
      </w:r>
      <w:r>
        <w:br/>
      </w:r>
      <w:r>
        <w:rPr>
          <w:rFonts w:ascii="Times New Roman"/>
          <w:b w:val="false"/>
          <w:i w:val="false"/>
          <w:color w:val="000000"/>
          <w:sz w:val="28"/>
        </w:rPr>
        <w:t>
      «128735,0» деген сандар «128775,0»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жаңадан өзгертiлiп, қайтадан осы шешiмге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болып енгiзiлсiн.</w:t>
      </w:r>
      <w:r>
        <w:br/>
      </w:r>
      <w:r>
        <w:rPr>
          <w:rFonts w:ascii="Times New Roman"/>
          <w:b w:val="false"/>
          <w:i w:val="false"/>
          <w:color w:val="000000"/>
          <w:sz w:val="28"/>
        </w:rPr>
        <w:t>
</w:t>
      </w:r>
      <w:r>
        <w:rPr>
          <w:rFonts w:ascii="Times New Roman"/>
          <w:b w:val="false"/>
          <w:i w:val="false"/>
          <w:color w:val="000000"/>
          <w:sz w:val="28"/>
        </w:rPr>
        <w:t>
      3. Осы шешiм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Дүйсенбаев</w:t>
      </w:r>
      <w:r>
        <w:br/>
      </w:r>
      <w:r>
        <w:rPr>
          <w:rFonts w:ascii="Times New Roman"/>
          <w:b w:val="false"/>
          <w:i w:val="false"/>
          <w:color w:val="000000"/>
          <w:sz w:val="28"/>
        </w:rPr>
        <w:t>
 </w:t>
      </w:r>
    </w:p>
    <w:p>
      <w:pPr>
        <w:spacing w:after="0"/>
        <w:ind w:left="0"/>
        <w:jc w:val="both"/>
      </w:pPr>
      <w:r>
        <w:rPr>
          <w:rFonts w:ascii="Times New Roman"/>
          <w:b w:val="false"/>
          <w:i/>
          <w:color w:val="000000"/>
          <w:sz w:val="28"/>
        </w:rPr>
        <w:t>      Мәслихат хатшысы                         М. Темеков</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 01-02/28-6 шешімімен бекітілген</w:t>
      </w:r>
    </w:p>
    <w:bookmarkEnd w:id="1"/>
    <w:p>
      <w:pPr>
        <w:spacing w:after="0"/>
        <w:ind w:left="0"/>
        <w:jc w:val="left"/>
      </w:pPr>
      <w:r>
        <w:rPr>
          <w:rFonts w:ascii="Times New Roman"/>
          <w:b/>
          <w:i w:val="false"/>
          <w:color w:val="000000"/>
        </w:rPr>
        <w:t xml:space="preserve"> 2010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566"/>
        <w:gridCol w:w="9996"/>
        <w:gridCol w:w="154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3665219</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1288674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1148177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389904</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339075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276015</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r>
      <w:tr>
        <w:trPr>
          <w:trHeight w:val="20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бергені және жыл сайынғы тіркегені үшін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2376545</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2376545</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2376545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620671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715"/>
        <w:gridCol w:w="715"/>
        <w:gridCol w:w="758"/>
        <w:gridCol w:w="8614"/>
        <w:gridCol w:w="2036"/>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3581131,2</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251522,2</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47618</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158961,2</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155837,2</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8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2137314</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90535</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1876637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1872327</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1853208</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170142</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165415</w:t>
            </w:r>
          </w:p>
        </w:tc>
      </w:tr>
      <w:tr>
        <w:trPr>
          <w:trHeight w:val="6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119269</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445981</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417588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8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63584</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66082</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25581</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105018</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88018</w:t>
            </w:r>
          </w:p>
        </w:tc>
      </w:tr>
      <w:tr>
        <w:trPr>
          <w:trHeight w:val="8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6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282149,4</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42518</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222902,4</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6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32711</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86763,4</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109108</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59076</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8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103706</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6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80410</w:t>
            </w:r>
          </w:p>
        </w:tc>
      </w:tr>
      <w:tr>
        <w:trPr>
          <w:trHeight w:val="8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10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172732</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29344</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22912</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w:t>
            </w:r>
          </w:p>
        </w:tc>
      </w:tr>
      <w:tr>
        <w:trPr>
          <w:trHeight w:val="10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12694</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35586,6</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2454,6</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33132</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5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73752,8</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-73752,8</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51461,2</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7" w:id="2"/>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 01-02/28-6 шешімімен бекітілген</w:t>
      </w:r>
    </w:p>
    <w:bookmarkEnd w:id="2"/>
    <w:p>
      <w:pPr>
        <w:spacing w:after="0"/>
        <w:ind w:left="0"/>
        <w:jc w:val="left"/>
      </w:pPr>
      <w:r>
        <w:rPr>
          <w:rFonts w:ascii="Times New Roman"/>
          <w:b/>
          <w:i w:val="false"/>
          <w:color w:val="000000"/>
        </w:rPr>
        <w:t xml:space="preserve"> Аягөз ауданының 2010 жылға бюджеттік бағдарламаларға бөлінген,</w:t>
      </w:r>
      <w:r>
        <w:br/>
      </w:r>
      <w:r>
        <w:rPr>
          <w:rFonts w:ascii="Times New Roman"/>
          <w:b/>
          <w:i w:val="false"/>
          <w:color w:val="000000"/>
        </w:rPr>
        <w:t>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даму бюджеті</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23"/>
        <w:gridCol w:w="707"/>
        <w:gridCol w:w="707"/>
        <w:gridCol w:w="1120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8" w:id="3"/>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26 қазандағы</w:t>
      </w:r>
      <w:r>
        <w:br/>
      </w:r>
      <w:r>
        <w:rPr>
          <w:rFonts w:ascii="Times New Roman"/>
          <w:b w:val="false"/>
          <w:i w:val="false"/>
          <w:color w:val="000000"/>
          <w:sz w:val="28"/>
        </w:rPr>
        <w:t>
№ 01-02/28-6 шешімімен бекітілген</w:t>
      </w:r>
    </w:p>
    <w:bookmarkEnd w:id="3"/>
    <w:p>
      <w:pPr>
        <w:spacing w:after="0"/>
        <w:ind w:left="0"/>
        <w:jc w:val="left"/>
      </w:pPr>
      <w:r>
        <w:rPr>
          <w:rFonts w:ascii="Times New Roman"/>
          <w:b/>
          <w:i w:val="false"/>
          <w:color w:val="000000"/>
        </w:rPr>
        <w:t xml:space="preserve"> Аягөз ауданының 2010 жылы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728"/>
        <w:gridCol w:w="749"/>
        <w:gridCol w:w="1120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