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c318" w14:textId="812c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істері жөніндегі жергілікті атқарушы органдардың тәуекелдер дәрежелерін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2011 жылғы 17 ақпандағы № 59 бұйрығы. Қазақстан Республикасының Әділет министрлігінде 2011 жылы 16 наурызда № 6818 тіркелді. Күші жойылды - Қазақстан Республикасы Ұлттық экономика минстрінің 2015 жылғы 23 маусымдағы № 446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минстрінің 23.06.2015 </w:t>
      </w:r>
      <w:r>
        <w:rPr>
          <w:rFonts w:ascii="Times New Roman"/>
          <w:b w:val="false"/>
          <w:i w:val="false"/>
          <w:color w:val="ff0000"/>
          <w:sz w:val="28"/>
        </w:rPr>
        <w:t>№ 446</w:t>
      </w:r>
      <w:r>
        <w:rPr>
          <w:rFonts w:ascii="Times New Roman"/>
          <w:b w:val="false"/>
          <w:i w:val="false"/>
          <w:color w:val="ff0000"/>
          <w:sz w:val="28"/>
        </w:rPr>
        <w:t xml:space="preserve"> (алғаш ресми жарияланғаннан кейiн он күнтiзбелiк күн өткен соң күшіне енеді) бұйрығымен.</w:t>
      </w:r>
    </w:p>
    <w:p>
      <w:pPr>
        <w:spacing w:after="0"/>
        <w:ind w:left="0"/>
        <w:jc w:val="both"/>
      </w:pPr>
      <w:r>
        <w:rPr>
          <w:rFonts w:ascii="Times New Roman"/>
          <w:b w:val="false"/>
          <w:i w:val="false"/>
          <w:color w:val="ff0000"/>
          <w:sz w:val="28"/>
        </w:rPr>
        <w:t xml:space="preserve">      Ескерту. Тақырып жаңа редакцияда - ҚР Құрылыс және тұрғын үй-коммуналдық шаруашылық істері агенттігі төрағасының 2012.02.17 </w:t>
      </w:r>
      <w:r>
        <w:rPr>
          <w:rFonts w:ascii="Times New Roman"/>
          <w:b w:val="false"/>
          <w:i w:val="false"/>
          <w:color w:val="ff0000"/>
          <w:sz w:val="28"/>
        </w:rPr>
        <w:t>№ 55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істері жөніндегі жергілікті атқарушы органдардың тәуекелдер дәрежелерін </w:t>
      </w:r>
      <w:r>
        <w:rPr>
          <w:rFonts w:ascii="Times New Roman"/>
          <w:b w:val="false"/>
          <w:i w:val="false"/>
          <w:color w:val="000000"/>
          <w:sz w:val="28"/>
        </w:rPr>
        <w:t>бағалау 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Құрылыс және тұрғын үй-коммуналдық шаруашылық істері агенттігі төрағасының 2012.02.17 </w:t>
      </w:r>
      <w:r>
        <w:rPr>
          <w:rFonts w:ascii="Times New Roman"/>
          <w:b w:val="false"/>
          <w:i w:val="false"/>
          <w:color w:val="000000"/>
          <w:sz w:val="28"/>
        </w:rPr>
        <w:t>№ 55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Мемлекеттік сәулет-құрылыс бақылау, аттестаттау және аккредиттеу департаментінің директоры (Ғ.Р. Әбдірайымов)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қызметі субъектілерінің және сәулет, қала құрылысы және құрылыс қызметі, мемлекеттік сәулет-құрылыс бақылауы және лицензиялау саласындағы жергілікті атқарушы органдардың тәуекелдер дәрежесін бағалау критерийлерін бекіту туралы» Қазақстан Республикасы Құрылыс және тұрғын үй-коммуналдық шаруашылық істері агенттігі төрағасының 2010 жылғы 18 ақпандағы № 60 және Қазақстан Республикасы Экономика және бюджеттік жоспарлау министрінің 2010 жылғы 19 ақпандағы № 82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кесімдерді мемлекеттік тіркеудің тізілімінде № 6075 тіркелген, 2010 жылғы 4 наурыздағы № 33 (1829)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тіркелген күнінен бастап қолданысқа енгізіледі.</w:t>
      </w:r>
    </w:p>
    <w:bookmarkEnd w:id="0"/>
    <w:p>
      <w:pPr>
        <w:spacing w:after="0"/>
        <w:ind w:left="0"/>
        <w:jc w:val="both"/>
      </w:pPr>
      <w:r>
        <w:rPr>
          <w:rFonts w:ascii="Times New Roman"/>
          <w:b w:val="false"/>
          <w:i/>
          <w:color w:val="000000"/>
          <w:sz w:val="28"/>
        </w:rPr>
        <w:t>      Төраға                                       С. Нокин</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 59 бұйрығымен бекітілген</w:t>
      </w:r>
    </w:p>
    <w:bookmarkEnd w:id="1"/>
    <w:bookmarkStart w:name="z8" w:id="2"/>
    <w:p>
      <w:pPr>
        <w:spacing w:after="0"/>
        <w:ind w:left="0"/>
        <w:jc w:val="left"/>
      </w:pPr>
      <w:r>
        <w:rPr>
          <w:rFonts w:ascii="Times New Roman"/>
          <w:b/>
          <w:i w:val="false"/>
          <w:color w:val="000000"/>
        </w:rPr>
        <w:t xml:space="preserve"> 
Сәулет, қала құрылысы және құрылыс істері жөніндегі жергілікті атқарушы органдардың тәуекелдер дәрежелерін бағалау критерийлері</w:t>
      </w:r>
    </w:p>
    <w:bookmarkEnd w:id="2"/>
    <w:p>
      <w:pPr>
        <w:spacing w:after="0"/>
        <w:ind w:left="0"/>
        <w:jc w:val="both"/>
      </w:pPr>
      <w:r>
        <w:rPr>
          <w:rFonts w:ascii="Times New Roman"/>
          <w:b w:val="false"/>
          <w:i w:val="false"/>
          <w:color w:val="ff0000"/>
          <w:sz w:val="28"/>
        </w:rPr>
        <w:t xml:space="preserve">      Ескерту. Тақырып жаңа редакцияда - ҚР Құрылыс және тұрғын үй-коммуналдық шаруашылық істері агенттігі төрағасының 2012.02.17 </w:t>
      </w:r>
      <w:r>
        <w:rPr>
          <w:rFonts w:ascii="Times New Roman"/>
          <w:b w:val="false"/>
          <w:i w:val="false"/>
          <w:color w:val="ff0000"/>
          <w:sz w:val="28"/>
        </w:rPr>
        <w:t>№ 55</w:t>
      </w:r>
      <w:r>
        <w:rPr>
          <w:rFonts w:ascii="Times New Roman"/>
          <w:b w:val="false"/>
          <w:i w:val="false"/>
          <w:color w:val="ff0000"/>
          <w:sz w:val="28"/>
        </w:rPr>
        <w:t xml:space="preserve"> Бұйрығымен.</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Сәулет, қала құрылысы және құрылыс істері жөніндегі жергілікті атқарушы органдардың тәуекелдер дәрежелерін бағалаудың осы критерийлері (бұдан әрі - Критерийлер) Қазақстан Республикасының«</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Заңдарына сәйкес сәулет, қала құрылысы және құрылыс қызметі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Құрылыс және тұрғын үй-коммуналдық шаруашылық істері агенттігі төрағасының 2012.02.17 </w:t>
      </w:r>
      <w:r>
        <w:rPr>
          <w:rFonts w:ascii="Times New Roman"/>
          <w:b w:val="false"/>
          <w:i w:val="false"/>
          <w:color w:val="000000"/>
          <w:sz w:val="28"/>
        </w:rPr>
        <w:t>№ 55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мынадай жергілікті атқарушы органдар:</w:t>
      </w:r>
      <w:r>
        <w:br/>
      </w:r>
      <w:r>
        <w:rPr>
          <w:rFonts w:ascii="Times New Roman"/>
          <w:b w:val="false"/>
          <w:i w:val="false"/>
          <w:color w:val="000000"/>
          <w:sz w:val="28"/>
        </w:rPr>
        <w:t>
      сәулет және қала құрылысы істері жөніндегі;</w:t>
      </w:r>
      <w:r>
        <w:br/>
      </w:r>
      <w:r>
        <w:rPr>
          <w:rFonts w:ascii="Times New Roman"/>
          <w:b w:val="false"/>
          <w:i w:val="false"/>
          <w:color w:val="000000"/>
          <w:sz w:val="28"/>
        </w:rPr>
        <w:t>
      құрылыс істері.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Құрылыс және тұрғын үй-коммуналдық шаруашылық істері агенттігі төрағасының 2012.02.17 </w:t>
      </w:r>
      <w:r>
        <w:rPr>
          <w:rFonts w:ascii="Times New Roman"/>
          <w:b w:val="false"/>
          <w:i w:val="false"/>
          <w:color w:val="000000"/>
          <w:sz w:val="28"/>
        </w:rPr>
        <w:t>№ 55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Бастапқы кезеңде бақылау субъектілері жоғары тәуекел дәрежесі тобына қосылады.</w:t>
      </w:r>
      <w:r>
        <w:br/>
      </w:r>
      <w:r>
        <w:rPr>
          <w:rFonts w:ascii="Times New Roman"/>
          <w:b w:val="false"/>
          <w:i w:val="false"/>
          <w:color w:val="000000"/>
          <w:sz w:val="28"/>
        </w:rPr>
        <w:t>
</w:t>
      </w:r>
      <w:r>
        <w:rPr>
          <w:rFonts w:ascii="Times New Roman"/>
          <w:b w:val="false"/>
          <w:i w:val="false"/>
          <w:color w:val="000000"/>
          <w:sz w:val="28"/>
        </w:rPr>
        <w:t>
      4. Бұдан әрі жүргізілген тексерулердің нәтижесі бойынша бақылау субъектілері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алған баллдың жиынтығына байланысты тәуекел дәрежелеріне бөлінеді:</w:t>
      </w:r>
      <w:r>
        <w:br/>
      </w:r>
      <w:r>
        <w:rPr>
          <w:rFonts w:ascii="Times New Roman"/>
          <w:b w:val="false"/>
          <w:i w:val="false"/>
          <w:color w:val="000000"/>
          <w:sz w:val="28"/>
        </w:rPr>
        <w:t>
      20 баллға дейін - жылына бір рет тексеру кезеңділігімен болмашы тәуекел дәрежесі;</w:t>
      </w:r>
      <w:r>
        <w:br/>
      </w:r>
      <w:r>
        <w:rPr>
          <w:rFonts w:ascii="Times New Roman"/>
          <w:b w:val="false"/>
          <w:i w:val="false"/>
          <w:color w:val="000000"/>
          <w:sz w:val="28"/>
        </w:rPr>
        <w:t>
      20-дан 30 баллға дейін - жарты жылда бір рет тексеру кезеңділігімен орташа тәуекел дәрежесі;</w:t>
      </w:r>
      <w:r>
        <w:br/>
      </w:r>
      <w:r>
        <w:rPr>
          <w:rFonts w:ascii="Times New Roman"/>
          <w:b w:val="false"/>
          <w:i w:val="false"/>
          <w:color w:val="000000"/>
          <w:sz w:val="28"/>
        </w:rPr>
        <w:t>
      30 балл және одан жоғары - тоқсанына бір рет тексеру кезеңділігімен жоғары тәуекел дәрежесі.</w:t>
      </w:r>
      <w:r>
        <w:br/>
      </w:r>
      <w:r>
        <w:rPr>
          <w:rFonts w:ascii="Times New Roman"/>
          <w:b w:val="false"/>
          <w:i w:val="false"/>
          <w:color w:val="000000"/>
          <w:sz w:val="28"/>
        </w:rPr>
        <w:t>
</w:t>
      </w:r>
      <w:r>
        <w:rPr>
          <w:rFonts w:ascii="Times New Roman"/>
          <w:b w:val="false"/>
          <w:i w:val="false"/>
          <w:color w:val="000000"/>
          <w:sz w:val="28"/>
        </w:rPr>
        <w:t>
      5. Тексеру нәтижесінде бұзушылық болмаған жағдайда бақылау субъектілері тәуекелдің аз дәрежесіне ауыстырылады.</w:t>
      </w:r>
    </w:p>
    <w:bookmarkEnd w:id="4"/>
    <w:bookmarkStart w:name="z17" w:id="5"/>
    <w:p>
      <w:pPr>
        <w:spacing w:after="0"/>
        <w:ind w:left="0"/>
        <w:jc w:val="both"/>
      </w:pPr>
      <w:r>
        <w:rPr>
          <w:rFonts w:ascii="Times New Roman"/>
          <w:b w:val="false"/>
          <w:i w:val="false"/>
          <w:color w:val="000000"/>
          <w:sz w:val="28"/>
        </w:rPr>
        <w:t>
Сәулет, қала құрылысы және</w:t>
      </w:r>
      <w:r>
        <w:br/>
      </w:r>
      <w:r>
        <w:rPr>
          <w:rFonts w:ascii="Times New Roman"/>
          <w:b w:val="false"/>
          <w:i w:val="false"/>
          <w:color w:val="000000"/>
          <w:sz w:val="28"/>
        </w:rPr>
        <w:t xml:space="preserve">
құрылыс істері жөніндегі  </w:t>
      </w:r>
      <w:r>
        <w:br/>
      </w:r>
      <w:r>
        <w:rPr>
          <w:rFonts w:ascii="Times New Roman"/>
          <w:b w:val="false"/>
          <w:i w:val="false"/>
          <w:color w:val="000000"/>
          <w:sz w:val="28"/>
        </w:rPr>
        <w:t xml:space="preserve">
жергілікті атқарушы    </w:t>
      </w:r>
      <w:r>
        <w:br/>
      </w:r>
      <w:r>
        <w:rPr>
          <w:rFonts w:ascii="Times New Roman"/>
          <w:b w:val="false"/>
          <w:i w:val="false"/>
          <w:color w:val="000000"/>
          <w:sz w:val="28"/>
        </w:rPr>
        <w:t xml:space="preserve">
органдардың тәуекелдер   </w:t>
      </w:r>
      <w:r>
        <w:br/>
      </w:r>
      <w:r>
        <w:rPr>
          <w:rFonts w:ascii="Times New Roman"/>
          <w:b w:val="false"/>
          <w:i w:val="false"/>
          <w:color w:val="000000"/>
          <w:sz w:val="28"/>
        </w:rPr>
        <w:t xml:space="preserve">
дәрежелерін бағалау   </w:t>
      </w:r>
      <w:r>
        <w:br/>
      </w:r>
      <w:r>
        <w:rPr>
          <w:rFonts w:ascii="Times New Roman"/>
          <w:b w:val="false"/>
          <w:i w:val="false"/>
          <w:color w:val="000000"/>
          <w:sz w:val="28"/>
        </w:rPr>
        <w:t xml:space="preserve">
критерийлеріне қосымша  </w:t>
      </w:r>
    </w:p>
    <w:bookmarkEnd w:id="5"/>
    <w:p>
      <w:pPr>
        <w:spacing w:after="0"/>
        <w:ind w:left="0"/>
        <w:jc w:val="both"/>
      </w:pPr>
      <w:r>
        <w:rPr>
          <w:rFonts w:ascii="Times New Roman"/>
          <w:b w:val="false"/>
          <w:i w:val="false"/>
          <w:color w:val="ff0000"/>
          <w:sz w:val="28"/>
        </w:rPr>
        <w:t xml:space="preserve">      Ескерту. Қосымша жаңа редакцияда - ҚР Құрылыс және тұрғын үй-коммуналдық шаруашылық істері агенттігі төрағасының 2012.02.17 </w:t>
      </w:r>
      <w:r>
        <w:rPr>
          <w:rFonts w:ascii="Times New Roman"/>
          <w:b w:val="false"/>
          <w:i w:val="false"/>
          <w:color w:val="ff0000"/>
          <w:sz w:val="28"/>
        </w:rPr>
        <w:t>№ 55</w:t>
      </w:r>
      <w:r>
        <w:rPr>
          <w:rFonts w:ascii="Times New Roman"/>
          <w:b w:val="false"/>
          <w:i w:val="false"/>
          <w:color w:val="ff0000"/>
          <w:sz w:val="28"/>
        </w:rPr>
        <w:t xml:space="preserve"> Бұйрығымен.</w:t>
      </w:r>
    </w:p>
    <w:bookmarkStart w:name="z18" w:id="6"/>
    <w:p>
      <w:pPr>
        <w:spacing w:after="0"/>
        <w:ind w:left="0"/>
        <w:jc w:val="left"/>
      </w:pPr>
      <w:r>
        <w:rPr>
          <w:rFonts w:ascii="Times New Roman"/>
          <w:b/>
          <w:i w:val="false"/>
          <w:color w:val="000000"/>
        </w:rPr>
        <w:t xml:space="preserve"> 
Тәуекелдер дәрежесін бағалау критерийлері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6873"/>
        <w:gridCol w:w="3032"/>
        <w:gridCol w:w="2109"/>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беру шарттары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және қала құрылыс органдары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Республикалық маңызы бар қаланың, астананың, облыстық маңызы бар қалалардың және республиканың селолық елді мекендерінің мынадай қала құрылысы жобаларымен қамтамасыз етілуі: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аумақтардың қала құрылысын жоспарлаудың кешендi схемалары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бас жоспарлар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егжей-тегжейлі жоспарлау жобалары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 салу жобалары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аумақтық құрылыс салу қағидаларының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мынадай қағидаларды сақтай отырып, қала құрылысы жобаларын әзірлеу және іске асыру: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аумақтық құрылыс салу қағидаларын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қала құрылысы регламенттерін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мемлекеттік қала құрылысы нормативтерін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мыналар кезінде аумақтарды аймақтарға бөлуге бақылау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қала құрылысын жоспарлағанда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аумақтарды функционалдық аймақтарға бөлгенде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қызыл сызықты сақтағанда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сары сызықты сақтағанда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 салуды реттеу сызығында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жергілікті сәулет және қала құрылысы органдарының сәулет-жоспарлау тапсырмасын және басқа да рұқсат құжаттарын беру мерзімдерін сақтауы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облыстық және базалық деңгейлерде мемлекеттік қала құрылысы кадастрын құру және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нұсқамаларды орындау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органдары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Құрылысқа тапсырысшы болып табылатын органның объектіде мемлекеттік нормативтердің талаптарын сақтауы, оның ішінде: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тиісті құқықтың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бекітілген жобалау (жобалау-сметалық) құжаттаманың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жобалар сараптамасының оң қорытындысының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құрылыс-монтаж жұмыстарын жүргізуге тиісті рұқсаттың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лицензияланатын сәулет, қала құрылысы және құрылыс қызметінің тиісті түрлерін жүзеге асыру құқығына лицензияның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орындалған (орындалатын) құрылыс-монтаж жұмыстарының, қолданылатын құрылыс материалдарының (бұйымдары, құрастырмалары) және жабдықтардың бекітілген жобалау шешімдері мен мемлекеттік (мемлекетаралық) нормативтерге сәйкес келуі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объектіде бақылауды ұйымдастыруы және жүзеге асыруы, оның ішінде: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кіру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операциялық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зертханалық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атқарушылық техникалық құжаттаманы уақтылы ресімдеу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тапсырысшының (меншік иесінің) техникалық қадағалауды ұйымдастыруы және жүзеге асыруы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тапсырысшының (меншік иесінің) авторлық қадағалауды ұйымдастыруы және жүзеге асыруы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бекітілген құжаттамадан ауытқыған кезде растайтын құжаттардың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(іске қосу) тәртібін сақтау, оның ішінде: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жобаға сәйкес объектінің толық әзірлігі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оң қорытындысының болуы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объектіні пайдалануға қабылдау рәсімінің ұзақтығын (қабылдау мерзімдерін) сақтау: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тұрғын үй мақсатында салынған объектілер бойынша - тапсырыс берушіден (құрылыс салушыдан) тиісті өтініш және жұмыс комиссиясы қол қойған акті келіп түскен кезден бастап бес жұмыс күнінен аспайтын мерзімде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тапсырыс берушіден (құрылыс салушыдан) тиісті өтініш және жұмыс комиссиясы қол қойған акті келіп түскен кезден бастап жеті жұмыс күнінен аспайтын мерзімде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тапсырысшының шешiмiмен тағайындалуы және объектiнiң пайдалануға қабылдау рәсiмiне дайын екендiгi туралы бас мердiгерден жазбаша хабар алынғаннан кейiн бес күн мерзiмнен кешiктiрiлмей құрылуы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комиссиясын тағайындау мерзімін сақтау: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объектiлердi пайдалануға қабылдау кезiнде - комиссия жұмысы басталуының белгiленген мерзiмiне дейiн үш айдан кешiктiрмей</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және коммуналдық мақсаттағы объектiлердi пайдалануға қабылдау кезiнде - комиссия жұмысы басталуының белгiленген мерзiмiне дейiн күнтiзбелiк отыз күннен кешiктiрмей</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объектіні пайдалануға қабылдау туралы мемлекеттiк қабылдау комиссиясы актісінің белгіленген нысанын сақтау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нұсқамаларды орындау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