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ffab" w14:textId="cbcf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 поездарының құрамындағы жылжымалы құрамды тіркеу және оның бағытпен жүруінің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11 наурыздағы № 130 бұйрығы. Қазақстан Республикасының Әділет министрлігінде 2011 жылы 11 сәуірде № 6881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2001 жылғы 8 желтоқсандағы Заңының 14-бабы 2-тармағының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 поездарының құрамындағы жылжымалы құрамды тіркеу және оның бағытпен жүру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жол қатынасы комитеті (Н.И. Қилыбай)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11 наурыздағы</w:t>
            </w:r>
            <w:r>
              <w:br/>
            </w:r>
            <w:r>
              <w:rPr>
                <w:rFonts w:ascii="Times New Roman"/>
                <w:b w:val="false"/>
                <w:i w:val="false"/>
                <w:color w:val="000000"/>
                <w:sz w:val="20"/>
              </w:rPr>
              <w:t>№ 130 бұйрығымен бекітілген</w:t>
            </w:r>
          </w:p>
        </w:tc>
      </w:tr>
    </w:tbl>
    <w:p>
      <w:pPr>
        <w:spacing w:after="0"/>
        <w:ind w:left="0"/>
        <w:jc w:val="left"/>
      </w:pPr>
      <w:r>
        <w:rPr>
          <w:rFonts w:ascii="Times New Roman"/>
          <w:b/>
          <w:i w:val="false"/>
          <w:color w:val="000000"/>
        </w:rPr>
        <w:t xml:space="preserve"> Жолаушы поездарының құрамындағы жылжымалы құрамды тіркеу және оның бағытпен жүру қағидасы</w:t>
      </w:r>
    </w:p>
    <w:bookmarkStart w:name="z7" w:id="5"/>
    <w:p>
      <w:pPr>
        <w:spacing w:after="0"/>
        <w:ind w:left="0"/>
        <w:jc w:val="both"/>
      </w:pPr>
      <w:r>
        <w:rPr>
          <w:rFonts w:ascii="Times New Roman"/>
          <w:b w:val="false"/>
          <w:i w:val="false"/>
          <w:color w:val="000000"/>
          <w:sz w:val="28"/>
        </w:rPr>
        <w:t xml:space="preserve">
      1. Осы Жолаушы поездарының құрамындағы жылжымалы құрамды тіркеу және оның бағытпен жүру қағидасы (бұдан әрі – Қағида)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жылжымалы құрамды тіркеу және оның жолаушылар поезының құрамында жүру тәртібін және шарттарын анықтайды.</w:t>
      </w:r>
    </w:p>
    <w:bookmarkEnd w:id="5"/>
    <w:bookmarkStart w:name="z8" w:id="6"/>
    <w:p>
      <w:pPr>
        <w:spacing w:after="0"/>
        <w:ind w:left="0"/>
        <w:jc w:val="both"/>
      </w:pPr>
      <w:r>
        <w:rPr>
          <w:rFonts w:ascii="Times New Roman"/>
          <w:b w:val="false"/>
          <w:i w:val="false"/>
          <w:color w:val="000000"/>
          <w:sz w:val="28"/>
        </w:rPr>
        <w:t>
      2. Халықаралық және республикаішілік қатынастарда жолаушылар поездарына қызметтік-техникалық бағыттағы тұтас металды емес вагондарды тіркеуге рұқсат етіледі.</w:t>
      </w:r>
    </w:p>
    <w:bookmarkEnd w:id="6"/>
    <w:p>
      <w:pPr>
        <w:spacing w:after="0"/>
        <w:ind w:left="0"/>
        <w:jc w:val="both"/>
      </w:pPr>
      <w:r>
        <w:rPr>
          <w:rFonts w:ascii="Times New Roman"/>
          <w:b w:val="false"/>
          <w:i w:val="false"/>
          <w:color w:val="000000"/>
          <w:sz w:val="28"/>
        </w:rPr>
        <w:t>
      Жалға алынған вагон-мейрамханалар және қызметтік-техникалық вагондарды тіркеуі және бағытпен жүруі келісім негізінде іске асырылады.</w:t>
      </w:r>
    </w:p>
    <w:bookmarkStart w:name="z9" w:id="7"/>
    <w:p>
      <w:pPr>
        <w:spacing w:after="0"/>
        <w:ind w:left="0"/>
        <w:jc w:val="both"/>
      </w:pPr>
      <w:r>
        <w:rPr>
          <w:rFonts w:ascii="Times New Roman"/>
          <w:b w:val="false"/>
          <w:i w:val="false"/>
          <w:color w:val="000000"/>
          <w:sz w:val="28"/>
        </w:rPr>
        <w:t>
      3. Тасымалдаушы өз поезының құрамындағы қызметтік-техникалық және вагон-мейрамханалар вагондарының бағытпен жүруін қамтамасыз етеді.</w:t>
      </w:r>
    </w:p>
    <w:bookmarkEnd w:id="7"/>
    <w:bookmarkStart w:name="z10" w:id="8"/>
    <w:p>
      <w:pPr>
        <w:spacing w:after="0"/>
        <w:ind w:left="0"/>
        <w:jc w:val="both"/>
      </w:pPr>
      <w:r>
        <w:rPr>
          <w:rFonts w:ascii="Times New Roman"/>
          <w:b w:val="false"/>
          <w:i w:val="false"/>
          <w:color w:val="000000"/>
          <w:sz w:val="28"/>
        </w:rPr>
        <w:t>
      4. Вагон-мейрамханалар вагондарын тіркеу үшін жолаушы поездары келесі шарттарға сәйкес болуы қажет:</w:t>
      </w:r>
    </w:p>
    <w:bookmarkEnd w:id="8"/>
    <w:p>
      <w:pPr>
        <w:spacing w:after="0"/>
        <w:ind w:left="0"/>
        <w:jc w:val="both"/>
      </w:pPr>
      <w:r>
        <w:rPr>
          <w:rFonts w:ascii="Times New Roman"/>
          <w:b w:val="false"/>
          <w:i w:val="false"/>
          <w:color w:val="000000"/>
          <w:sz w:val="28"/>
        </w:rPr>
        <w:t>
      "фирмалық" санатының болуы;</w:t>
      </w:r>
    </w:p>
    <w:p>
      <w:pPr>
        <w:spacing w:after="0"/>
        <w:ind w:left="0"/>
        <w:jc w:val="both"/>
      </w:pPr>
      <w:r>
        <w:rPr>
          <w:rFonts w:ascii="Times New Roman"/>
          <w:b w:val="false"/>
          <w:i w:val="false"/>
          <w:color w:val="000000"/>
          <w:sz w:val="28"/>
        </w:rPr>
        <w:t>
      облысаралық немесе халықаралық қатынастар кезінде бір бағытта жиырма және одан көп сағат жолда және олардың схемасында төрттен кем емес купелі вагондар жүретін болғанда;</w:t>
      </w:r>
    </w:p>
    <w:p>
      <w:pPr>
        <w:spacing w:after="0"/>
        <w:ind w:left="0"/>
        <w:jc w:val="both"/>
      </w:pPr>
      <w:r>
        <w:rPr>
          <w:rFonts w:ascii="Times New Roman"/>
          <w:b w:val="false"/>
          <w:i w:val="false"/>
          <w:color w:val="000000"/>
          <w:sz w:val="28"/>
        </w:rPr>
        <w:t>
      астананы республикалық маңызды қаламен қосқанда.</w:t>
      </w:r>
    </w:p>
    <w:p>
      <w:pPr>
        <w:spacing w:after="0"/>
        <w:ind w:left="0"/>
        <w:jc w:val="both"/>
      </w:pPr>
      <w:r>
        <w:rPr>
          <w:rFonts w:ascii="Times New Roman"/>
          <w:b w:val="false"/>
          <w:i w:val="false"/>
          <w:color w:val="000000"/>
          <w:sz w:val="28"/>
        </w:rPr>
        <w:t>
      Жолаушылар поездарының құрамына қызметтік-техникалық вагондарды тіркеу шартын тасымалдаушы немесе Ұлттық инфрақұрылым операторы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5. Заңды және жеке тұлғалардың меншігіндегі жолаушы вагондарын тіркеу тасымалдаушыға вагондардың жүрісіне төлем туралы құжаттардың болуы және вагонның тіркелуін және оған тиісті номердің тағайындалуын растайтын құжатты көрсету кезінде, және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ЛУ-46 нысандағы жеке вагондарды пайдалану құқығына куәлігінің болуы кезінде іске асырылады.</w:t>
      </w:r>
    </w:p>
    <w:bookmarkEnd w:id="9"/>
    <w:bookmarkStart w:name="z12" w:id="10"/>
    <w:p>
      <w:pPr>
        <w:spacing w:after="0"/>
        <w:ind w:left="0"/>
        <w:jc w:val="both"/>
      </w:pPr>
      <w:r>
        <w:rPr>
          <w:rFonts w:ascii="Times New Roman"/>
          <w:b w:val="false"/>
          <w:i w:val="false"/>
          <w:color w:val="000000"/>
          <w:sz w:val="28"/>
        </w:rPr>
        <w:t>
      6. Жолаушылар поездарына тіркеуге тыйым салынады:</w:t>
      </w:r>
    </w:p>
    <w:bookmarkEnd w:id="10"/>
    <w:bookmarkStart w:name="z13" w:id="11"/>
    <w:p>
      <w:pPr>
        <w:spacing w:after="0"/>
        <w:ind w:left="0"/>
        <w:jc w:val="both"/>
      </w:pPr>
      <w:r>
        <w:rPr>
          <w:rFonts w:ascii="Times New Roman"/>
          <w:b w:val="false"/>
          <w:i w:val="false"/>
          <w:color w:val="000000"/>
          <w:sz w:val="28"/>
        </w:rPr>
        <w:t>
      1) қауіпті жүктері бар вагондарды;</w:t>
      </w:r>
    </w:p>
    <w:bookmarkEnd w:id="11"/>
    <w:bookmarkStart w:name="z14" w:id="12"/>
    <w:p>
      <w:pPr>
        <w:spacing w:after="0"/>
        <w:ind w:left="0"/>
        <w:jc w:val="both"/>
      </w:pPr>
      <w:r>
        <w:rPr>
          <w:rFonts w:ascii="Times New Roman"/>
          <w:b w:val="false"/>
          <w:i w:val="false"/>
          <w:color w:val="000000"/>
          <w:sz w:val="28"/>
        </w:rPr>
        <w:t>
      2) кезеңдік жөндеу мерзімі өткен немесе бірыңғай техникалық тексеру мерзімі өткен вагондарды;</w:t>
      </w:r>
    </w:p>
    <w:bookmarkEnd w:id="12"/>
    <w:bookmarkStart w:name="z15" w:id="13"/>
    <w:p>
      <w:pPr>
        <w:spacing w:after="0"/>
        <w:ind w:left="0"/>
        <w:jc w:val="both"/>
      </w:pPr>
      <w:r>
        <w:rPr>
          <w:rFonts w:ascii="Times New Roman"/>
          <w:b w:val="false"/>
          <w:i w:val="false"/>
          <w:color w:val="000000"/>
          <w:sz w:val="28"/>
        </w:rPr>
        <w:t>
      3) ЛУ-46 нысандағы жекелеген вагондарды пайдалану құқығына рұқсаты бар куәлігі жоқ қызметтік және қызметтік-техникалық вагондар.</w:t>
      </w:r>
    </w:p>
    <w:bookmarkEnd w:id="13"/>
    <w:bookmarkStart w:name="z16" w:id="14"/>
    <w:p>
      <w:pPr>
        <w:spacing w:after="0"/>
        <w:ind w:left="0"/>
        <w:jc w:val="both"/>
      </w:pPr>
      <w:r>
        <w:rPr>
          <w:rFonts w:ascii="Times New Roman"/>
          <w:b w:val="false"/>
          <w:i w:val="false"/>
          <w:color w:val="000000"/>
          <w:sz w:val="28"/>
        </w:rPr>
        <w:t>
      7. Жолаушы поездарына (жедел және жүрдек поездардан басқа) Ұлттық темір жол компаниясының рұқсатымен мынадай жүк вагондары тіркеледі:</w:t>
      </w:r>
    </w:p>
    <w:bookmarkEnd w:id="14"/>
    <w:bookmarkStart w:name="z17" w:id="15"/>
    <w:p>
      <w:pPr>
        <w:spacing w:after="0"/>
        <w:ind w:left="0"/>
        <w:jc w:val="both"/>
      </w:pPr>
      <w:r>
        <w:rPr>
          <w:rFonts w:ascii="Times New Roman"/>
          <w:b w:val="false"/>
          <w:i w:val="false"/>
          <w:color w:val="000000"/>
          <w:sz w:val="28"/>
        </w:rPr>
        <w:t>
      1) төрт білікті жабық;</w:t>
      </w:r>
    </w:p>
    <w:bookmarkEnd w:id="15"/>
    <w:bookmarkStart w:name="z18" w:id="16"/>
    <w:p>
      <w:pPr>
        <w:spacing w:after="0"/>
        <w:ind w:left="0"/>
        <w:jc w:val="both"/>
      </w:pPr>
      <w:r>
        <w:rPr>
          <w:rFonts w:ascii="Times New Roman"/>
          <w:b w:val="false"/>
          <w:i w:val="false"/>
          <w:color w:val="000000"/>
          <w:sz w:val="28"/>
        </w:rPr>
        <w:t>
      2) сүт тасуға арналған цистерналар;</w:t>
      </w:r>
    </w:p>
    <w:bookmarkEnd w:id="16"/>
    <w:bookmarkStart w:name="z19" w:id="17"/>
    <w:p>
      <w:pPr>
        <w:spacing w:after="0"/>
        <w:ind w:left="0"/>
        <w:jc w:val="both"/>
      </w:pPr>
      <w:r>
        <w:rPr>
          <w:rFonts w:ascii="Times New Roman"/>
          <w:b w:val="false"/>
          <w:i w:val="false"/>
          <w:color w:val="000000"/>
          <w:sz w:val="28"/>
        </w:rPr>
        <w:t>
      3) автономды рефрижераторлы;</w:t>
      </w:r>
    </w:p>
    <w:bookmarkEnd w:id="17"/>
    <w:bookmarkStart w:name="z20" w:id="18"/>
    <w:p>
      <w:pPr>
        <w:spacing w:after="0"/>
        <w:ind w:left="0"/>
        <w:jc w:val="both"/>
      </w:pPr>
      <w:r>
        <w:rPr>
          <w:rFonts w:ascii="Times New Roman"/>
          <w:b w:val="false"/>
          <w:i w:val="false"/>
          <w:color w:val="000000"/>
          <w:sz w:val="28"/>
        </w:rPr>
        <w:t>
      4) тірі балықты тасымалдауға арналған.</w:t>
      </w:r>
    </w:p>
    <w:bookmarkEnd w:id="18"/>
    <w:p>
      <w:pPr>
        <w:spacing w:after="0"/>
        <w:ind w:left="0"/>
        <w:jc w:val="both"/>
      </w:pPr>
      <w:r>
        <w:rPr>
          <w:rFonts w:ascii="Times New Roman"/>
          <w:b w:val="false"/>
          <w:i w:val="false"/>
          <w:color w:val="000000"/>
          <w:sz w:val="28"/>
        </w:rPr>
        <w:t>
      Бұл ретте халықаралық қатынастағы жолаушы поездарына біреуден кем емес жүк вагонын немесе тірі балықты тасымалдауға арналған екі вагонды секцияны, облысаралық және қала маңы қатынасындағы поезға үшеуден кем емес вагондарды тіркеуге жол беріледі.</w:t>
      </w:r>
    </w:p>
    <w:bookmarkStart w:name="z21" w:id="19"/>
    <w:p>
      <w:pPr>
        <w:spacing w:after="0"/>
        <w:ind w:left="0"/>
        <w:jc w:val="both"/>
      </w:pPr>
      <w:r>
        <w:rPr>
          <w:rFonts w:ascii="Times New Roman"/>
          <w:b w:val="false"/>
          <w:i w:val="false"/>
          <w:color w:val="000000"/>
          <w:sz w:val="28"/>
        </w:rPr>
        <w:t>
      8. Басқа құрылымдағы және түрдегі жылжымалы құрам енгізілген жолаушылар поездарының қозғалыс жылдамдығы сол жылжымалы құрам үшін белгіленген жылдамдықтан аспауы тиіс.</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 поездарының құрамындағы</w:t>
            </w:r>
            <w:r>
              <w:br/>
            </w:r>
            <w:r>
              <w:rPr>
                <w:rFonts w:ascii="Times New Roman"/>
                <w:b w:val="false"/>
                <w:i w:val="false"/>
                <w:color w:val="000000"/>
                <w:sz w:val="20"/>
              </w:rPr>
              <w:t>жылжымалы құрамды тіркеу және</w:t>
            </w:r>
            <w:r>
              <w:br/>
            </w:r>
            <w:r>
              <w:rPr>
                <w:rFonts w:ascii="Times New Roman"/>
                <w:b w:val="false"/>
                <w:i w:val="false"/>
                <w:color w:val="000000"/>
                <w:sz w:val="20"/>
              </w:rPr>
              <w:t>оның бағытпен жүру қағидасына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ЛУ-46 нысаны</w:t>
            </w:r>
          </w:p>
          <w:p>
            <w:pPr>
              <w:spacing w:after="20"/>
              <w:ind w:left="20"/>
              <w:jc w:val="both"/>
            </w:pPr>
            <w:r>
              <w:rPr>
                <w:rFonts w:ascii="Times New Roman"/>
                <w:b w:val="false"/>
                <w:i w:val="false"/>
                <w:color w:val="000000"/>
                <w:sz w:val="20"/>
              </w:rPr>
              <w:t>
"Қазақстан темір жолы" ҰК" 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жеке вагондарды пайдалану құқығына</w:t>
            </w:r>
          </w:p>
          <w:p>
            <w:pPr>
              <w:spacing w:after="20"/>
              <w:ind w:left="20"/>
              <w:jc w:val="both"/>
            </w:pPr>
            <w:r>
              <w:rPr>
                <w:rFonts w:ascii="Times New Roman"/>
                <w:b w:val="false"/>
                <w:i w:val="false"/>
                <w:color w:val="000000"/>
                <w:sz w:val="20"/>
              </w:rPr>
              <w:t>
</w:t>
            </w:r>
            <w:r>
              <w:rPr>
                <w:rFonts w:ascii="Times New Roman"/>
                <w:b/>
                <w:i w:val="false"/>
                <w:color w:val="000000"/>
                <w:sz w:val="20"/>
              </w:rPr>
              <w:t>№_______КУӘЛІК</w:t>
            </w:r>
          </w:p>
          <w:p>
            <w:pPr>
              <w:spacing w:after="20"/>
              <w:ind w:left="20"/>
              <w:jc w:val="both"/>
            </w:pPr>
            <w:r>
              <w:rPr>
                <w:rFonts w:ascii="Times New Roman"/>
                <w:b w:val="false"/>
                <w:i w:val="false"/>
                <w:color w:val="000000"/>
                <w:sz w:val="20"/>
              </w:rPr>
              <w:t>
Вагонның № ______________________________ остьері</w:t>
            </w:r>
          </w:p>
          <w:p>
            <w:pPr>
              <w:spacing w:after="20"/>
              <w:ind w:left="20"/>
              <w:jc w:val="both"/>
            </w:pPr>
            <w:r>
              <w:rPr>
                <w:rFonts w:ascii="Times New Roman"/>
                <w:b w:val="false"/>
                <w:i w:val="false"/>
                <w:color w:val="000000"/>
                <w:sz w:val="20"/>
              </w:rPr>
              <w:t>
а) кімге ұсынылды: 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 қандай мерзімге _________________________ бастап</w:t>
            </w:r>
          </w:p>
          <w:p>
            <w:pPr>
              <w:spacing w:after="20"/>
              <w:ind w:left="20"/>
              <w:jc w:val="both"/>
            </w:pPr>
            <w:r>
              <w:rPr>
                <w:rFonts w:ascii="Times New Roman"/>
                <w:b w:val="false"/>
                <w:i w:val="false"/>
                <w:color w:val="000000"/>
                <w:sz w:val="20"/>
              </w:rPr>
              <w:t>
____________________дейін______________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қатынау ауданы немесе бағыты:</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 ұсыну шарттары: 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 вагонның тіркеу станциясы:</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Вице-президенті</w:t>
            </w:r>
          </w:p>
          <w:p>
            <w:pPr>
              <w:spacing w:after="20"/>
              <w:ind w:left="20"/>
              <w:jc w:val="both"/>
            </w:pPr>
            <w:r>
              <w:rPr>
                <w:rFonts w:ascii="Times New Roman"/>
                <w:b w:val="false"/>
                <w:i w:val="false"/>
                <w:color w:val="000000"/>
                <w:sz w:val="20"/>
              </w:rPr>
              <w:t>
_________________ ____________ _____________________</w:t>
            </w:r>
          </w:p>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