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8d4d" w14:textId="f6e8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көтерме және бөлшек саудада өткізу ережесін бекіту туралы"  Қазақстан Республикасы Денсаулық сақтау министрі м.а. 2009 жылғы 16 қарашадағы № 711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8 маусымдағы № 368 Бұйрығы. Қазақстан Республикасының Әділет министрлігінде 2011 жылы 16 маусымда № 7016 тіркелді.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Еуразиялық экономикалық қоғамдастықтың Мемлекетаралық Кеңесінің (Кеден одағының жоғарғы органы) 2011 жылғы 19 мамырдағы № 81 шешіміне, сондай-ақ «Кеден одағының сыртқы шекарасына мемлекеттік бақылаудың келісілген түрлерін көшіру бойынша жоспарларды орындау туралы» Кеден одағы Комиссиясының 2011 жылғы 19 мамырдағы № 644 шешіміне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көтерме және бөлшек саудада өткізу ережесін бекіту туралы» Қазақстан Республикасы Денсаулық сақтау министрі м.а. 2009 жылғы 16 қарашадағы № 711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2009 жылғы 20 қарашада № 5920 тіркелген, Қазақстан Республикасы орталық атқарушы және өзге де орталық мемлекеттік органдарының актілер жинағы, 2010 жыл № 4; Қазақстан Республикасы нормативтік құқықтық актілер Бюллетені 2010 жылғы қыркүйек, № 9, 382-құжатта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Дәрілік заттарды, медициналық мақсаттағы бұйымдарды және медициналық техниканы көтерме және бөлшек саудада өткізу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16-1-тармақпен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«16-1. Беларусь Республикасы және Ресей Федерациясы аумақтарында сату үшін емес Кеден одағының Бірыңғай кедендік тарифінің мөлшерлерінен өзгеше кедендік баж мөлшерлері бойынша үшінші  елдерден Қазақстан Республикасына келетін импорттық фармацевтикалық өнімді көтерме саудада өткізу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(Бейсен Н.Е.) осы бұйрықты заңнама белгілеген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(Таласпаева А.С.) осы бұйрықты мемлекеттік тіркегеннен кейін оның заңнама белгілеген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 ресми жариялаған күнінен он күнтізбектік күн өткеннен кейін күшіне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министрінің міндетін атқарушы                     С. Мусинов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