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7efa" w14:textId="2297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 240-І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21 маусымдағы N 380 Бұйрығы. Қазақстан Республикасының Әділет министрлігінде 2011 жылы 27 маусымда N 7038 тіркелді.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N 240-І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1948 болып тіркелген, "Ресми газет" газетінің 2002 жылғы 31 тамыздағы N 35 санында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темір жол жылжымалы құрамын тіркеу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Мемлекеттік тізілімге Қазақстан Республикасы Кеден одағының Бірыңғай кеден тарифімен белгіленген ставкалардан өзгеше кедендік баж ставкаларын қолдануына қатысы бар темір жол жылжымалы құрамы туралы қосымша мәліметтер енгізіледі.</w:t>
      </w:r>
      <w:r>
        <w:br/>
      </w:r>
      <w:r>
        <w:rPr>
          <w:rFonts w:ascii="Times New Roman"/>
          <w:b w:val="false"/>
          <w:i w:val="false"/>
          <w:color w:val="000000"/>
          <w:sz w:val="28"/>
        </w:rPr>
        <w:t>
      Қосымша мәліметтер кедендік бажын төлеу туралы ақпаратты қамтиды.";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 оған қатысты Кеден одағына мүше мемлекеттердің аумағында бұдан әрі қолдану үшін Кеден одағының Бірыңғай кедендік тарифтерінде белгіленген ставкалардан өзгеше кедендік баж ставкаларын қолданатын темір жол жылжымалы құрамын сенімгерлік басқаруға немесе мүліктік жалға берген жағдайда уәкілетті органды хабарлау, сонымен бірге жалға берушінің немесе жалға алушының Кеден одағының Бірыңғай кедендік тарифінің ставкалары бойынша есептелген кедендік әкелу баждарының сомасы айырмасының мөлшерінде кедендік бажды төлегенін растайтын құжаттардың көшірмесін ұсыну қажет.";</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"24-1. Қазақстан Республикасы оған қатысты Кеден одағына мүше мемлекеттердің аумағында бұдан әрі қолдану үшін Кеден одағының Бірыңғай кедендік тарифтерінде белгіленген ставкалардан өзгеше кедендік баж ставкаларын қолданатын темір жол жылжымалы құрамын өзге Кеден одағына мүше мемлекеттердің аумағында бұдан әрі қолдану үшін сатылған жағдайда сатушының немесе сатып алушының Кеден одағының Бірыңғай кедендік тарифінің ставкалары бойынша есептелген кедендік баждарының сомасы айырмасының мөлшерінде кедендік бажды төлегенін растайтын құжаттардың көшірмесін ұсынғаннан кейін Мемлекеттік тізілімінен шығарылуға жатады.".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 осы бұйрықты Қазақстан Республикасы Әділет министрлігінде мемлекеттік тіркеуін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