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5cbc" w14:textId="2855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Құрылыс және тұрғын үй-комуналдық шаруашылық істері агенттігі төрағасының 2011 жылғы 26 тамыздағы № 304 бұйрығы. Қазақстан Республикасының Әділет министрлігінде 2011 жылы 6 қыркүйекте № 7163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тұрғын үй қорынан тұрғын үйлерді немесе жеке тұрғын үй қорынан жергілікті атқарушы орган жалдаған тұрғын үйлерді барабар бөлу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Тұрғын үй-коммуналдық шаруашылық департаменті осы бұйрықты Қазақстан Республикасы Әділет министрлігінде мемлекеттік тіркеуден өткен соң осы бұйрықты бұқаралық ақпарат құралдарында ресми жариялауды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Құрылыс және тұрғын үй-коммуналдық шаруашылық істері агенттігі төрағасының орынбасары Н.П. Тихонюкке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Нокин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 үйлерді немесе жеке тұрғын үй қорынан жергілікті атқарушы орган жалдаған тұрғын үйлерді барабар бөлу әдістемесі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 үйлерді немесе жеке тұрғын үй қорынан жергілікті атқарушы орган жалдаған тұрғын үйлерді барабар бөлу әдістемесі (бұдан әрі - Әдістеме) "Тұрғын үй қатынастары туралы" Қазақстан Республикасының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Әдістеме тұрғын үй қорынан тұрғын үйлерді немесе жеке тұрғын үй қорынан жергілікті атқарушы орган жалдаған тұрғын үйлерді тізімдер бойынша бөлу кезінде басшылық ретінде қолданылады.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Сатып алу құқығынсыз жалға берілетін тұрғынжай Қазақстан Республикасының азаматтарына Қазақстан Республикасы Мемлекеттік жоспарлау жүйесінің құжаттарына сәйкес беріледі.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2-1-тармақпен толықтырылды – ҚР Индустрия және инфрақұрылымдық даму министрінің 30.04.2019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– ҚР Индустрия және инфрақұрылымдық даму министрінің 31.07.2019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тұрғын үй қорынан тұрғын үйлерді немесе жеке тұрғын үй қорынан жергілікті атқарушы орган жалдаған тұрғын үйлерді барабар бөлу Қазақстан Республикасының тұрғын үй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кезектен тыс және бірінші кезекте тұрғын үй алуға құқығы бар азаматтарға тұрғын үй бөлінгеннен кейін жүзеге асырылады.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тұрғын үй қорынан тұрғын үйлерді немесе жеке тұрғын үй қорынан жергілікті атқарушы орган жалдаған тұрғын үйлерді барабар бөлуді есептеу үшін мынадай көрсеткіштер қолданылады: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азаматтардың жекелеген санаттарына беруге арналған пәтерлер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барабар бөлуге жататын пәтерлердің жалпы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кезекте тұрған азаматтардың жекелеген санаттарының жалпы санға қатысты пайыздық арасалмағы;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жекелеген санаттар кезегінде тұрған азаматтар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жалпы </w:t>
      </w:r>
      <w:r>
        <w:rPr>
          <w:rFonts w:ascii="Times New Roman"/>
          <w:b w:val="false"/>
          <w:i w:val="false"/>
          <w:color w:val="000000"/>
          <w:sz w:val="28"/>
        </w:rPr>
        <w:t>– жалпы кезекте тұрған азаматтар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Кезекте тұрған азаматтардың жекелеген санаттарының жалпы кезектегі азаматтардың санына қатысты пайыздық арасалмағы мынадай формула бойынша анықталады: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= К / К</w:t>
      </w:r>
      <w:r>
        <w:rPr>
          <w:rFonts w:ascii="Times New Roman"/>
          <w:b w:val="false"/>
          <w:i w:val="false"/>
          <w:color w:val="000000"/>
          <w:vertAlign w:val="subscript"/>
        </w:rPr>
        <w:t>жалпы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беруге арналған пәтерлер саны мынадай формула бойынша анықталады: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В * С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Еселік мәнді алған кезде азаматтардың жекелеген санаттарына беруге арналған пәтерлер саны тұтас сандарға дейін дөңгелектеледі. Бұл ретте 0,5-тен кем қалдық мәні назарға алынбайды, ал 0,5-ке тең немесе одан асатыны тұтас сан ретінде қабылданады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