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b57e" w14:textId="bc9b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операцияларын жүргізу саласындағы жеке кәсіпкерлік субъектілерінің тәуекел дәрежесін бағалау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2011 жылғы 25 тамыздағы № 149 және Қазақстан Республикасы Экономикалық даму және сауда министрі м.а 2011 жылғы 31 тамыздағы № 272 Бірлескен бұйрығы. Қазақстан Республикасының Әділет министрлігінде 2011 жылы 12 қыркүйекте № 7177 тіркелді. Күші жойылды - Қазақстан Республикасы Энергетика министрінің 2015 жылғы 22 маусымдағы № 421 және Қазақстан Республикасы Ұлттық экономика министрінің м.а. 2015 жылғы 30 маусымдағы № 482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22.06.2015 № 421 және ҚР Ұлттық экономика министрінің м.а. 30.06.2015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2011 жылғы 6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Мұнай операцияларын жүргізу саласындағы жеке кәсіпкерлік субъектілері сферасын тексеру мәселесі жөніндегі міндетті ведомстволық есептіліктің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Мұнай-газ саласындағы мемлекеттік инспекциялау комитеті (Т.А.Момышев):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Мұнай және газ министрлігінің интернет-ресурсына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ай сайын, есепті айдан кейінгі айдың 10-на дейін және жылдың 20-қаңтарына дейін, облыстар, Астана және Алматы қалалары бойынша жүргізілген тексерулер мен олардың нәтижелері жөніндегі ақпартатты Қазақстан Республикасы Мұнай және газ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Мұнай және газ вице-министрі Л.К.Кииновқа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органдардың соңғысы қол қойған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Мұнай және газ министрі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______________С. Мыңбаев       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25 тамыз             ______________ Д. Шәженова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2011 жылғы 31 тамыз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министрлігінің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тамыз № 149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 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тамыз № 272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бекітілді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Мұнай операцияларын жүргізу саласындағы жеке кәсіпкерлік</w:t>
      </w:r>
      <w:r>
        <w:br/>
      </w:r>
      <w:r>
        <w:rPr>
          <w:rFonts w:ascii="Times New Roman"/>
          <w:b/>
          <w:i w:val="false"/>
          <w:color w:val="000000"/>
        </w:rPr>
        <w:t>
субъектілерінің тәуекел дәрежесін бағалау өлшемдері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Осы, мұнай операцияларын жүргізу саласындағы жеке кәсіпкерлік субъектілерінің тәуекел дәрежесін бағалау өлшемдері (бұдан әрі – өлшемдер) мұнай операцияларын жүргізу саласындағы жеке кәсіпкерлік субъектілерін тәуекел дәрежесіне жатқызу үшін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және қадағалау туралы»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«Жер қойнауы және жер қойнауын пайдаланушылар туралы»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«Лицензиялау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Өлшемдерде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– тексерiлетiн субъектiнiң қызметi нәтижесiнде салдарының ауырлық дәрежесi ескерiле отырып, адамның өмiрiне немесе денсаулығына, қоршаған ортаға, жеке және заңды тұлғалардың заңды мүдделерiне, мемлекеттiң мүлiктiк мүдделерiне зиян келтiру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тәуекелдердi бағалау жүйесi – бақылауды және қадағалауды жүзеге асыратын органның тексерулердi жоспарлау мақсатында жүргiзетiн iс-шаралар кешенi;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дәрежесiн бағалау өлшемдерi – тексерiлетiн субъектiнiң тiкелей қызметiмен, салалық даму ерекшелiктерiмен және осы дамуға әсер ететiн факторлармен байланысты, тексерiлетiн субъектiлердi әртүрлi тәуекел дәрежесiне жатқызуға мүмкiндiк беретiн сандық және сапалық көрсеткiштердiң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тексерiлетiн субъектi – қызмет түріне лицензиясы бар, лицензиялау және кейінгі лицензиялық тексеру Қазақстан Республикасының Мұнай және газ министрінің ведомствосымен жүргізілетін, сондай-ақ жер қойнауын пайдалану операциясы жүзеге асырылатын мұнай операцияларын жүргізу саласындағы қызметiне бақылауды және қадағалауды жүзеге асыратын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Жоспарлы тексерулер жүргiзудің мерзімі тәуекел дәрежесіне байланысты: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дәрежесi кезiнде – жылына бiр реттен;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дәрежесi кезiнде – үш жылда бiр реттен;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дәрежесi кезiнде – бес жылда бiр реттен жиi болмайтын кезеңдiлiгi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Тәуекел дәрежесін бағалау өлшемдері 2 түрге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объективті – тексерілетін субъектілер қызмет атқарған кезде мүмкін болатын тәуекелдердің маңыздылығына негізделген;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субъективті – тексерілетін субъектілермен белгіленген талаптарды бұзуға жол берілгендігіне байланысты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Субъективті өлшемдер елеулі және болмашы бұзушылықтардан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Алғаш рет тексерілетін субъектілерді тәуекел дәрежесіне жатқызу объективті өлшемдер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Объективті өлшемдері бойынша тексерілетін субъектілер мынадай тәуекелдер тобына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тәуекел дәрежесінің 1-тобына мұнай, газ, мұнай-газконденсатын өндіруді, сондай-ақ қызметтің мынадай лицензияланатын түрлері мен кіші түрлерін жүзеге асыратын жеке және заңды тұлғалар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Тау-кен (пайдалы қазбаларды барлау, өндіру), мұнай-химия, химия өндiрiстерiн жобалау (технологиялық) және (немесе) пайдалану, мұнай-газ өңдеу өндірістерін жобалау (технологиялық), магистральдық газ құбырларын, мұнай құбырларын, мұнай өнiмдерi құбырларын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осы түрі мынадай кіші қызмет түрлерін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тау-кен, мұнай-химия өндірістерін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мұнайды, газды, мұнай-газконденсатын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мұнай, газ ұңғымаларын, оның iшiнде теңiзде және iшкi су айдындарында бұрғылау;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ұңғымаларды жер астында және күрделі жөндеу, жабдықтар мен агрегаттарды бөлшектеу; мұнай-газ ұңғымаларында ұңғымалар көтергішiн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мұнай-газ ұңғымаларында ұңғымаларды жөндеуден кейiн сынаулар;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мұнай-газ ұңғымаларында ұңғымаларды жуу, цементтеу, сынап көру және игеру;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қабаттарының мұнай беруiн арттыру және ұңғымалардың өнiмділігін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құрлықта және теңiзде мұнайдың төгiлуiн, ұңғымалардың өздiгiнен атқылауын, мұнай және газ шығарындыларын (бұрқаққа қарсы жұмыстарды қоспағанда) болғызбау және жою жөнiндегi жұмыстар, ұңғымаларды консервациялау;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мұнай, газ ұңғымаларындағы атқылау-жару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орташа тәуекел дәрежесінің 2-тобына мұнай және газ кен орындарын бақылауды, сондай-ақ қызметтің мынадай лицензияланатын түрлері мен кіші түрлерін жүзеге асыратын жеке және заңды тұлғалар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Тау-кен (пайдалы қазбаларды барлау, өндіру), мұнай-химия, химия өндiрiстерiн жобалау (технологиялық) және (немесе) пайдалану, мұнай-газ өңдеу өндірістерін жобалау (технологиялық), магистральдық газ құбырларын, мұнай құбырларын, мұнай өнiмдерi құбырларын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осы түрі мынадай кіші қызмет түрлерін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тау-кен, мұнай-химия өндірістерін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(мұнай, газды, мұнай-газконденсаты) кен орындарында технологиялық жұмыстар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мұнай, газ ұңғымаларындағы каротаж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төменгі тәуекел дәрежесінің 3-тобына қызметтің мынадай лицензияланатын түрлері мен кіші түрлерін жүзеге асыратын лицензиаттар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Тау-кен (пайдалы қазбаларды барлау, өндіру), мұнай-химия, химия өндiрiстерiн жобалау (технологиялық) және (немесе) пайдалану, мұнай-газ өңдеу өндірістерін жобалау (технологиялық), магистральдық газ құбырларын, мұнай құбырларын, мұнай өнiмдерi құбырларын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осы түрі мынадай кіші қызмет түрлерін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тау-кен, мұнай-химия, мұнай-газ өңдеу өндірістерін жобалау (технологиялық);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тау-кен өндірістерін жобалау (технологиялық);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мұнайды, газды, мұнай-газконденсатын өндіруді жобалау;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мұнай-газ кен орындарын әзірлеу жобаларын және технологиялық регламенттердi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мұнай-химия өндірістерін жобалау (технологиялық);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мұнай-газ кен орындарын әзірлеу жобаларының техникалық-экономикалық негіздемесін жасау.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Мұнай және газ министрінің 11.07.2013 № 123 және ҚР Өңірлік даму министрінің м.а. 16.07.2013 № 135/НҚ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Тексерілетін субъектілерді тәуекел дәрежесіне қайтадан жатқызу субъективті өлшемдерді ескер отырып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Елеулі бұзушылықтарға: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қызметке біліктілік талаптарына сәйкес талап етілетін меншік немесе жалгерлік (жалгерлік шарты) құқығындағы өндірістік базаның (меншік құқығын растайтын, құқық белгілейтін құжаттардың көшірмелері)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қызметке біліктілік талаптарына сәйкес талап етілетін сәйкес құрылғының, механизмдердің, құралдардың, технологиялық құрылғылардың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лицензияның немесе жарылғыш заттармен жұмыс жасауға лицензиясы бар мамандандырылған ұйыммен жасалған шарттың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қызметке біліктілік талаптарына сәйкес талап етілетін тиісті білім беру деңгейіне жауап беретін және мамандығы бойынша іс жүзіндегі жұмыс тәжірибесі бар техникалық басшылар мен мамандардың білікті құрамының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лицензияға қосымшада көрсетілмеген лицензияланатын қызметтің кіші түрлерін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кен орнын барлау, сынамалы игеру, өндірістік және тәжірибелік-өндірістік игеру, ұңғымаларды, қажетті кәсіпшілік объектілерді және көмірсутектерін өндіру, дайындау және сақтауға қажетті басқа да объектілердің жобалау құжаттарының болмауы, сол сияқты бекітілген жобалық құжаттардың талаптарын бұзуы;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Үкiметiнiң 2011 жылғы 10 ақпандағы № 123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пайдалы қазбаларды барлау мен өндiру кезiнде жер қойнауын ұтымды әрi кешендi пайдалану жөнiндегi бiрыңғай қағиданың талаптарын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ұңғымалар объектілерін сынау, кен орнын сынамалы игеру кезінде, газды технологиялық еріксіз жағу кезінде мұнай-газ саласындағы уәкілетті органның рұқсатынсыз ілеспе және (немесе) табиғи газды жағу;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мұнай-газ кен орынын өндірістік игеруді ілеспе және (немесе) табиғи газды өңдеусіз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теңiзде және iшкi су айдындарында мұнай операцияларын жүргiзудiң жалпы шарттарын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олар болған жағдайда техникалық регламенттермен белгіленген талаптарды сақтамау;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қоршаған ортаны қорғау саласында мұнай және газ саласындағы уәкілетті органмен бекітілген және жер қойнауын зерттеу және пайдалану жөніндегі уәкілетті органдармен келісілген ілеспе газды өңдеуді дамыту бағдарламасының болмауы және сақталмауы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Мұнай және газ министрінің 11.07.2013 № 123 және ҚР Өңірлік даму министрінің м.а. 16.07.2013 № 135/НҚ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Болмашы бұзушылықтарға: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қызметтің біліктілік талаптарына сәйкес талап етілетін технологиялық регламенттердің болмауы немесе технологиялық регламенттің кәсіпорын басшысымен бекітілмеуі, орындалатын қызметтің кіші түрлеріне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- ҚР Мұнай және газ министрінің 11.07.2013 № 123 және ҚР Өңірлік даму министрінің м.а. 16.07.2013 № 135/НҚ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қызметтің біліктілік талаптарына сәйкестігі талап етілетін өнім сапасының стандарттарға, нормаларға және техникалық шарттарға сәйкестігін бақылайтын аккредиттелген зертхананың (немесе қызмет көрсетуге арналған шарттың)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жүзеге асырылатын қызмет түріне қойылатын біліктілік талаптарына сәйкес талап етілетін технологиялық процесті және берілген сападағы өнімнің шығарылуын сақтауды; машиналарды, тетіктерді, аспаптарды, жабдықтарды пайдалануды және оларға техникалық қызмет көрсетуді; еңбек қауіпсіздігін бақылауды; метрологиялық бақылауды; маркшейдерлік жұмыстарды және қоршаған ортаны қорғауды қамтамасыз ететін қызметтердің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- ҚР Мұнай және газ министрінің 11.07.2013 № 123 және ҚР Өңірлік даму министрінің м.а. 16.07.2013 № 135/НҚ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iлеспе газды өңдеудi дамыту бағдарламасын орындау жөніндегі есептілікті ұсынбау;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- ҚР Мұнай және газ министрінің 11.07.2013 № 123 және ҚР Өңірлік даму министрінің м.а. 16.07.2013 № 135/НҚ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келісім-шарттық аймақта өндірілген мұнайды өлшеу мен таразылау </w:t>
      </w:r>
      <w:r>
        <w:rPr>
          <w:rFonts w:ascii="Times New Roman"/>
          <w:b w:val="false"/>
          <w:i w:val="false"/>
          <w:color w:val="000000"/>
          <w:sz w:val="28"/>
        </w:rPr>
        <w:t>ережесін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ҚР Мұнай және газ министрінің 11.07.2013 № 123 және ҚР Өңірлік даму министрінің м.а. 16.07.2013 № 135/НҚ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Әрбір жол берілген бұзушылық үшін тексерілетін субъект мынадай балл иеленеді: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елеулі бұзушылық үшін – екі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болмашы бұзушылық үшін – бір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Тексерілетін субъектілер субъективті өлшемдер бойынша жол берілген бұзушылықтың түрі мен санына байланысты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қорытындысы бойынша тексерілетін субъектінің жинаған баллдары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кезеңінде 4 балдан жоғары жинаған болмашы тәуекел тобына жатқызылған субъектілер тексерілетін орташа тәуекел тобына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кезеңінде 4 балдан жоғары жинаған орташа тәуекел тобына жатқызылған субъектілер тексерілетін жоғары тәуекел тобына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кезеңінде жоғары топтағы тәуекел дәрежесiндегі субъектілер тексерілетін 2 балдан көп жинамаса орташа тәуекел дәрежесiне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кезеңінде орташа тәуекел дәрежесiндегі тексерілетін субъектілер 3 балдан көп жинамаса болмашы тәуекел дәрежесiне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Бір топтың ішіндегі тексерілетін субъектілер тексеру жоспарына: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тексерудің ең соңғы мерзімі;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тексеру кезінде анықталған бұзушылықтар саны бойынша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