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7825" w14:textId="2657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ауданында халықтын нысаналы топтарына жататын тұлғалардың 2012 жылына қосымша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2011 жылғы 8 желтоқсандағы № А-12/492 қаулысы. Ақмола облысы Атбасар ауданының Әділет басқармасында 2011 жылғы 30 желтоқсанда № 1-5-175 тіркелді. Қолданылу мерзімінің аяқталуына байланысты қаулының күші жойылды - Ақмола облысы Атбасар ауданы әкімі аппараты жетекшісінің 2013 жылғы 26 наурыздағы № 01-359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Атбасар ауданы әкімі аппараты жетекшісінің 26.03.2013 № 01-359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қамту туралы» Заңдарына сәйкес және нысаналы топтар құрамына кіретін және әлеуметтік қорғауда неғұрлым мұқтаж тұлғалардың жұмыспен қамтылуына көмек көрсету мақсатында,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қосымша тізбесі анықталсың: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жасты қоса алғандағы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көп уақыт жұмыс істеймейтін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ертеде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техникалық және кәсіптік білім беру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ауданы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Р.Әубәкіров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