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083c" w14:textId="8050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тіркеу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әкімінің 2011 жылғы 20 желтоқсандағы N 06 шешімі. Қарағанды облысы Сәтбаев қаласы Әділет басқармасында 2011 жылғы 26 желтоқсанда N 8-6-132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азаматтарды әскери есепке қою, олардың санын, әскери қызметке жарамдалық дәрежесін айқындау, жалпы білім деңгейін, алған мамандығы мен дене даярлығы деңгейін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"Сәтбаев қаласының қорғаныс істері жөніндегі бөлімі" мемлекеттік мекемесі (бұдан әрі - қорғаныс істері жөніндегі бөлім), (Д.Д. Ахматкулов – келісім бойынша) 2012 жылғы қаңтар-наурызда Сәтбаев қаласында тұратын 1995 жылы туған Қазақстан Республикасының еркек жынысты азаматтарын қорғаныс істері жөніндегі бөлімнің шақыру учаскесінде тіркеуді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Б.Қ. Шыңғысов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Д.Д. Ахматкулов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15 желтоқсандағы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