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302f" w14:textId="b5b3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жекелеген санаттарына 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2011 жылғы 10 қарашадағы N 307/45 шешімі. Қарағанды облысы Балқаш қаласының Әділет басқармасында 2011 жылғы 9 желтоқсанда N 8-4-255 тіркелді. Күші жойылды - Қарағанды облысы Приозерск қалалық мәслихатының 2014 жылғы 25 маусымдағы XXХIV сессиясының № 34/238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Приозерск қалалық мәслихатының 25.06.2014 XXХIV сессиясының № 34/238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 әлеуметтік көмекке мұқтаж азаматтардың санаттары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соғысының қатысушыларына теңестірілген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Мұқтаж азаматтардың жекелеген санаттарына әлеуметтік көмек көрсету шығындары "Жергілікті өкілетті органдардың шешімі бойынша мұқтаж азаматтардың жекелеген санаттарына әлеуметтік көмек" 451007 бағдарламасы бойынша қала бюджетінде қарастырылған қаржы шегінде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тұрақты бюджет және әлеуметтік сала мәселелері жөніндегі комиссиясына жүктелсін (Жолдас Б.Қ.).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Битин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"____"____________ 2011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