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c398" w14:textId="15ac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шаруашылық дақылдарының әр түрі бойынша 2011 жылда оңтайлы себу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26 мамырдағы № 146 қаулысы. Қостанай облысы Ұзынкөл ауданының Әділет басқармасында 2011 жылғы 8 маусымда № 9-19-158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шаруашылығындағы міндетті сақтандыру туралы" Қазақстан Республикасының 2004 жылғы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"Қостанай ауыл шаруашылық ғылыми–зерттеу институты" жауапкершілігі шектеулі серіктестігінің ұсынысының негізінде, оңтайлы мерзімде себілген, егістік жерде өсірілген басым ауыл шаруашылығы дақылдарының алқаптарына субсидия беру үшін,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басым ауыл шаруашылық дақылдарының әр түрі бойынша 2011 жылда келесі оңтайлы себу мерзімдері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жаздық дәнді дақылдар (бидай, арпа, сұлы, қара құмық)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дәнді бұршақты дақылдар (бұршақ, аңқа)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майлы дақылдар (бұршақ, күнбағыс, зығыр, қыша) 18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қысқы дәнді дақылдар (қара бидай, бидай) 15 тамыздан 1 қыркүйекке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Ж.Е. 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әкiмi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ауыл шаруашылық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