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50b" w14:textId="31c0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оқытылатын және тәрбиеленетін мүгедек балалардың ата-аналары немесе өзге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2011 жылғы 23 желтоқсандағы № 447 қаулысы. Атырау облысы Әділет департаментінде 2012 жылғы 6 қаңтарда № 4-8-217 тіркелді. Күші жойылды - Құрманғазы ауданы әкімдігінің 2013 жылғы 21 ақпандағы № 106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Құрманғазы ауданы әкімдігінің 2013.02.21 № 106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>, 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29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қызметкердің стандарттарын бекіту туралы" қаулысының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әкімдігінің 2011 жылғы 21 қарашадағы № 329 "Үйде оқытылатын және тәрбиеленетін мүгедек балалардың ата-аналары немесе өзге заңды өкілдерінің шығындарын өтеу туралы"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балалардың ата-аналарына немесе өзге заңды өкілдеріне үйде тәрбиелеу мен оқыту шығындарын өтеу үшін ай сайын 2,4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Мұфтахқа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2011 жылдың 1 тамызынан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