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3847" w14:textId="1383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2011 жылғы 21 қыркүйектегі 52-419/IV шешімі. Оңтүстік Қазақстан облысы Сайрам ауданының Әділет басқармасында 2011 жылғы 20 қазанда N 14-10-170 тіркелді. Қолданылу мерзімінің аяқталуына байланысты шешімнің күші жойылды - Оңтүстік Қазақстан облысы Сайрам аудандық мәслихатының 2013 жылғы 1 ақпандағы № 31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01.02.2013 № 31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2011 жылы ауданның ауылдық елді, мекендеріне жұмыс істеу және тұру үшін келген денсаулық сақтау, бiлiм беру, әлеуметтiк қамсыздандыру, мәдениет және спорттың мамандарына:</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бір мың бес жүз еселік айлық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шешiм алғаш рет ресми жарияланған күннен бастап күнтiзбелiк он күн өткен соң қолданысқа енгiзiледі.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Cессия төрағасы                            М.Есалиев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Т.Төлендиев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