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5651" w14:textId="5d45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Тұрмыстық қатты қалдықтар полигонының әрбір секциясы үшін газ мониторингін жүргізу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12 қаңтардағы № 6-ө бұйрығы. Қазақстан Республикасы Әділет министрлігінде 2012 жылы 6 ақпанда № 7411 тіркелді. Күші жойылды - Қазақстан Республикасы Экология, геология және табиғи ресурстар министрінің 2021 жылғы 14 қыркүйектегі № 378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14.09.2021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Энергетика министрінің 25.01.2016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305-бабы</w:t>
      </w:r>
      <w:r>
        <w:rPr>
          <w:rFonts w:ascii="Times New Roman"/>
          <w:b w:val="false"/>
          <w:i w:val="false"/>
          <w:color w:val="000000"/>
          <w:sz w:val="28"/>
        </w:rPr>
        <w:t xml:space="preserve"> 5-тармағына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Қоса беріліп отырған Тұрмыстық қатты қалдықтар полигонының әрбір секциясы үшін газ мониторингін жүргізу жөніндегі әдістемесі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25.01.2016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Өндіріс және тұтыну қалдықтарын басқару департаменті осы бұйрықтың белгіленген тәртіпте Қазақстан Республикасының Әділет министрлігінде мемлекеттік тіркеуден өтуін және кейіннен бұқаралық ақпарат құралдарында жариялануын қамтамасыз етсін.</w:t>
      </w:r>
    </w:p>
    <w:bookmarkEnd w:id="1"/>
    <w:bookmarkStart w:name="z4" w:id="2"/>
    <w:p>
      <w:pPr>
        <w:spacing w:after="0"/>
        <w:ind w:left="0"/>
        <w:jc w:val="both"/>
      </w:pPr>
      <w:r>
        <w:rPr>
          <w:rFonts w:ascii="Times New Roman"/>
          <w:b w:val="false"/>
          <w:i w:val="false"/>
          <w:color w:val="000000"/>
          <w:sz w:val="28"/>
        </w:rPr>
        <w:t>
      3. Осы бұйрық алғаш ресми жарияланғаннан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Әшім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министрлігінің</w:t>
            </w:r>
            <w:r>
              <w:br/>
            </w:r>
            <w:r>
              <w:rPr>
                <w:rFonts w:ascii="Times New Roman"/>
                <w:b w:val="false"/>
                <w:i w:val="false"/>
                <w:color w:val="000000"/>
                <w:sz w:val="20"/>
              </w:rPr>
              <w:t>2012 жылғы 12 қаңтардағы</w:t>
            </w:r>
            <w:r>
              <w:br/>
            </w:r>
            <w:r>
              <w:rPr>
                <w:rFonts w:ascii="Times New Roman"/>
                <w:b w:val="false"/>
                <w:i w:val="false"/>
                <w:color w:val="000000"/>
                <w:sz w:val="20"/>
              </w:rPr>
              <w:t>№ 6-ө бұйрығымен бекітілген</w:t>
            </w:r>
          </w:p>
        </w:tc>
      </w:tr>
    </w:tbl>
    <w:bookmarkStart w:name="z6" w:id="3"/>
    <w:p>
      <w:pPr>
        <w:spacing w:after="0"/>
        <w:ind w:left="0"/>
        <w:jc w:val="left"/>
      </w:pPr>
      <w:r>
        <w:rPr>
          <w:rFonts w:ascii="Times New Roman"/>
          <w:b/>
          <w:i w:val="false"/>
          <w:color w:val="000000"/>
        </w:rPr>
        <w:t xml:space="preserve"> Қатты тұрмыстық қалдықтар полигонының әрбір секция бойынша газ</w:t>
      </w:r>
      <w:r>
        <w:br/>
      </w:r>
      <w:r>
        <w:rPr>
          <w:rFonts w:ascii="Times New Roman"/>
          <w:b/>
          <w:i w:val="false"/>
          <w:color w:val="000000"/>
        </w:rPr>
        <w:t>мониторингін жүргізу әдістемесі</w:t>
      </w:r>
    </w:p>
    <w:bookmarkEnd w:id="3"/>
    <w:bookmarkStart w:name="z7" w:id="4"/>
    <w:p>
      <w:pPr>
        <w:spacing w:after="0"/>
        <w:ind w:left="0"/>
        <w:jc w:val="both"/>
      </w:pPr>
      <w:r>
        <w:rPr>
          <w:rFonts w:ascii="Times New Roman"/>
          <w:b w:val="false"/>
          <w:i w:val="false"/>
          <w:color w:val="000000"/>
          <w:sz w:val="28"/>
        </w:rPr>
        <w:t>
      1. Осы Қатты тұрмыстық қалдықтар полигонның әрбір секция үшін газ мониторингін жүргізу әдістемесі (бұдан әрі - Әдістеме) қатты тұрмыстық қалдықтар полигонында (бұдан әрі - полигон) белгіленген мезгіл аралығында газ эмиссияларының саны мен сапасы және олардың өзгерісінің нақты деректерін алу үшін арналған.</w:t>
      </w:r>
    </w:p>
    <w:bookmarkEnd w:id="4"/>
    <w:bookmarkStart w:name="z8" w:id="5"/>
    <w:p>
      <w:pPr>
        <w:spacing w:after="0"/>
        <w:ind w:left="0"/>
        <w:jc w:val="both"/>
      </w:pPr>
      <w:r>
        <w:rPr>
          <w:rFonts w:ascii="Times New Roman"/>
          <w:b w:val="false"/>
          <w:i w:val="false"/>
          <w:color w:val="000000"/>
          <w:sz w:val="28"/>
        </w:rPr>
        <w:t>
      2. Газ мониторингі полигонды пайдаланудың алдында басталады және қалдықтардың биологиялық ыдырау үдерісі аяқталғанға дейін жалғасады. Жаңа полигондар жағдайында метан мен көмірқышқыл газының табиғи фондық деңгейі белгіленеді. Бұл деңгей полигонды пайдалану басталғанға дейін белгіленеді.</w:t>
      </w:r>
    </w:p>
    <w:bookmarkEnd w:id="5"/>
    <w:bookmarkStart w:name="z9" w:id="6"/>
    <w:p>
      <w:pPr>
        <w:spacing w:after="0"/>
        <w:ind w:left="0"/>
        <w:jc w:val="both"/>
      </w:pPr>
      <w:r>
        <w:rPr>
          <w:rFonts w:ascii="Times New Roman"/>
          <w:b w:val="false"/>
          <w:i w:val="false"/>
          <w:color w:val="000000"/>
          <w:sz w:val="28"/>
        </w:rPr>
        <w:t>
      3. Газ мониторингі:</w:t>
      </w:r>
    </w:p>
    <w:bookmarkEnd w:id="6"/>
    <w:bookmarkStart w:name="z10" w:id="7"/>
    <w:p>
      <w:pPr>
        <w:spacing w:after="0"/>
        <w:ind w:left="0"/>
        <w:jc w:val="both"/>
      </w:pPr>
      <w:r>
        <w:rPr>
          <w:rFonts w:ascii="Times New Roman"/>
          <w:b w:val="false"/>
          <w:i w:val="false"/>
          <w:color w:val="000000"/>
          <w:sz w:val="28"/>
        </w:rPr>
        <w:t>
      пайда болған газдың мөлшері мен құрамын анықтауға болатын қалдықтардың қабатында;</w:t>
      </w:r>
    </w:p>
    <w:bookmarkEnd w:id="7"/>
    <w:bookmarkStart w:name="z11" w:id="8"/>
    <w:p>
      <w:pPr>
        <w:spacing w:after="0"/>
        <w:ind w:left="0"/>
        <w:jc w:val="both"/>
      </w:pPr>
      <w:r>
        <w:rPr>
          <w:rFonts w:ascii="Times New Roman"/>
          <w:b w:val="false"/>
          <w:i w:val="false"/>
          <w:color w:val="000000"/>
          <w:sz w:val="28"/>
        </w:rPr>
        <w:t>
      жер бетіне газдардың бақылаусыз шығу жағдайларын анықтауға болатын полигонның бетіне және объектінің санитарлық-қорғау аймағында жүргізіледі.</w:t>
      </w:r>
    </w:p>
    <w:bookmarkEnd w:id="8"/>
    <w:bookmarkStart w:name="z12" w:id="9"/>
    <w:p>
      <w:pPr>
        <w:spacing w:after="0"/>
        <w:ind w:left="0"/>
        <w:jc w:val="both"/>
      </w:pPr>
      <w:r>
        <w:rPr>
          <w:rFonts w:ascii="Times New Roman"/>
          <w:b w:val="false"/>
          <w:i w:val="false"/>
          <w:color w:val="000000"/>
          <w:sz w:val="28"/>
        </w:rPr>
        <w:t>
      4. Полигон бойының ішінде газдар үшін сүзгіге қарсы экранмен жабдықталған полигонның секциясына газ мониторингі үшін бір бақылау нүктесін орнату ұсынылады. Сүзгіге қарсы экраны жоқ полигондарда бақылау нүктелері қалдықтармен толтырылған алаңның бір гектарына бір бақылау нүкте тығыздығымен орнатылады.</w:t>
      </w:r>
    </w:p>
    <w:bookmarkEnd w:id="9"/>
    <w:bookmarkStart w:name="z13" w:id="10"/>
    <w:p>
      <w:pPr>
        <w:spacing w:after="0"/>
        <w:ind w:left="0"/>
        <w:jc w:val="both"/>
      </w:pPr>
      <w:r>
        <w:rPr>
          <w:rFonts w:ascii="Times New Roman"/>
          <w:b w:val="false"/>
          <w:i w:val="false"/>
          <w:color w:val="000000"/>
          <w:sz w:val="28"/>
        </w:rPr>
        <w:t>
      5. Қалдықтар қабатына салынған мониторинг ұңғымалары газ шоғырының деңгейін және оның полигон бойында қозғалуына мониторинг жүргізу мақсаты үшін қызмет етеді. Бұл ұңғымалар газды жинақтау және шығару жүйесінен бөлек салынады және тек қалдықтардың ыдырау деңгейін және қоршаған ортаға әсерін анықтау үшін бақылау нүктелері ретінде қолданылады.</w:t>
      </w:r>
    </w:p>
    <w:bookmarkEnd w:id="10"/>
    <w:bookmarkStart w:name="z14" w:id="11"/>
    <w:p>
      <w:pPr>
        <w:spacing w:after="0"/>
        <w:ind w:left="0"/>
        <w:jc w:val="both"/>
      </w:pPr>
      <w:r>
        <w:rPr>
          <w:rFonts w:ascii="Times New Roman"/>
          <w:b w:val="false"/>
          <w:i w:val="false"/>
          <w:color w:val="000000"/>
          <w:sz w:val="28"/>
        </w:rPr>
        <w:t>
      6. Қалдықтар қабатынан тыс жерлерге газ мониторингінің бақылау нүктелерін орналастыру нақты полигондарға байланысты. Осы нүктелерді орналасу орындарын таңдаған кезде ескеру қажет факторлар:</w:t>
      </w:r>
    </w:p>
    <w:bookmarkEnd w:id="11"/>
    <w:bookmarkStart w:name="z15" w:id="12"/>
    <w:p>
      <w:pPr>
        <w:spacing w:after="0"/>
        <w:ind w:left="0"/>
        <w:jc w:val="both"/>
      </w:pPr>
      <w:r>
        <w:rPr>
          <w:rFonts w:ascii="Times New Roman"/>
          <w:b w:val="false"/>
          <w:i w:val="false"/>
          <w:color w:val="000000"/>
          <w:sz w:val="28"/>
        </w:rPr>
        <w:t>
      1) түзілетін газдың құрамы мен көлемі;</w:t>
      </w:r>
    </w:p>
    <w:bookmarkEnd w:id="12"/>
    <w:bookmarkStart w:name="z16" w:id="13"/>
    <w:p>
      <w:pPr>
        <w:spacing w:after="0"/>
        <w:ind w:left="0"/>
        <w:jc w:val="both"/>
      </w:pPr>
      <w:r>
        <w:rPr>
          <w:rFonts w:ascii="Times New Roman"/>
          <w:b w:val="false"/>
          <w:i w:val="false"/>
          <w:color w:val="000000"/>
          <w:sz w:val="28"/>
        </w:rPr>
        <w:t>
      2) аймақтың геологиялық жағдайы;</w:t>
      </w:r>
    </w:p>
    <w:bookmarkEnd w:id="13"/>
    <w:bookmarkStart w:name="z17" w:id="14"/>
    <w:p>
      <w:pPr>
        <w:spacing w:after="0"/>
        <w:ind w:left="0"/>
        <w:jc w:val="both"/>
      </w:pPr>
      <w:r>
        <w:rPr>
          <w:rFonts w:ascii="Times New Roman"/>
          <w:b w:val="false"/>
          <w:i w:val="false"/>
          <w:color w:val="000000"/>
          <w:sz w:val="28"/>
        </w:rPr>
        <w:t>
      3) қалдықтардың типі;</w:t>
      </w:r>
    </w:p>
    <w:bookmarkEnd w:id="14"/>
    <w:bookmarkStart w:name="z18" w:id="15"/>
    <w:p>
      <w:pPr>
        <w:spacing w:after="0"/>
        <w:ind w:left="0"/>
        <w:jc w:val="both"/>
      </w:pPr>
      <w:r>
        <w:rPr>
          <w:rFonts w:ascii="Times New Roman"/>
          <w:b w:val="false"/>
          <w:i w:val="false"/>
          <w:color w:val="000000"/>
          <w:sz w:val="28"/>
        </w:rPr>
        <w:t>
      4) газдың таралуын басатын шаралар;</w:t>
      </w:r>
    </w:p>
    <w:bookmarkEnd w:id="15"/>
    <w:bookmarkStart w:name="z19" w:id="16"/>
    <w:p>
      <w:pPr>
        <w:spacing w:after="0"/>
        <w:ind w:left="0"/>
        <w:jc w:val="both"/>
      </w:pPr>
      <w:r>
        <w:rPr>
          <w:rFonts w:ascii="Times New Roman"/>
          <w:b w:val="false"/>
          <w:i w:val="false"/>
          <w:color w:val="000000"/>
          <w:sz w:val="28"/>
        </w:rPr>
        <w:t>
      5) сүзгіге қарсы экран немесе жоғарғы оқшаулағыш қабат;</w:t>
      </w:r>
    </w:p>
    <w:bookmarkEnd w:id="16"/>
    <w:bookmarkStart w:name="z20" w:id="17"/>
    <w:p>
      <w:pPr>
        <w:spacing w:after="0"/>
        <w:ind w:left="0"/>
        <w:jc w:val="both"/>
      </w:pPr>
      <w:r>
        <w:rPr>
          <w:rFonts w:ascii="Times New Roman"/>
          <w:b w:val="false"/>
          <w:i w:val="false"/>
          <w:color w:val="000000"/>
          <w:sz w:val="28"/>
        </w:rPr>
        <w:t>
      6) полигон ғимараттары мен құрылыстарына жақындылығы;</w:t>
      </w:r>
    </w:p>
    <w:bookmarkEnd w:id="17"/>
    <w:bookmarkStart w:name="z21" w:id="18"/>
    <w:p>
      <w:pPr>
        <w:spacing w:after="0"/>
        <w:ind w:left="0"/>
        <w:jc w:val="both"/>
      </w:pPr>
      <w:r>
        <w:rPr>
          <w:rFonts w:ascii="Times New Roman"/>
          <w:b w:val="false"/>
          <w:i w:val="false"/>
          <w:color w:val="000000"/>
          <w:sz w:val="28"/>
        </w:rPr>
        <w:t>
      7) қалдықтар сүзгілеу коэффициенті.</w:t>
      </w:r>
    </w:p>
    <w:bookmarkEnd w:id="18"/>
    <w:bookmarkStart w:name="z22" w:id="19"/>
    <w:p>
      <w:pPr>
        <w:spacing w:after="0"/>
        <w:ind w:left="0"/>
        <w:jc w:val="both"/>
      </w:pPr>
      <w:r>
        <w:rPr>
          <w:rFonts w:ascii="Times New Roman"/>
          <w:b w:val="false"/>
          <w:i w:val="false"/>
          <w:color w:val="000000"/>
          <w:sz w:val="28"/>
        </w:rPr>
        <w:t xml:space="preserve">
      7. Қалдықтар бойынан 20 метр қашықтықта мониторинг ұңғымаларын орналастыру ұсынылады. Ұңғымалардың тереңдігі қалдықтардың полигон бойында жатқан барынша тереңдігіне тең болу тиіс. </w:t>
      </w:r>
    </w:p>
    <w:bookmarkEnd w:id="19"/>
    <w:bookmarkStart w:name="z23" w:id="20"/>
    <w:p>
      <w:pPr>
        <w:spacing w:after="0"/>
        <w:ind w:left="0"/>
        <w:jc w:val="both"/>
      </w:pPr>
      <w:r>
        <w:rPr>
          <w:rFonts w:ascii="Times New Roman"/>
          <w:b w:val="false"/>
          <w:i w:val="false"/>
          <w:color w:val="000000"/>
          <w:sz w:val="28"/>
        </w:rPr>
        <w:t xml:space="preserve">
      8. Полигондардың газ мониторингіне арналған бақылау желісін ұйымдастыру әдістері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End w:id="20"/>
    <w:bookmarkStart w:name="z24" w:id="21"/>
    <w:p>
      <w:pPr>
        <w:spacing w:after="0"/>
        <w:ind w:left="0"/>
        <w:jc w:val="both"/>
      </w:pPr>
      <w:r>
        <w:rPr>
          <w:rFonts w:ascii="Times New Roman"/>
          <w:b w:val="false"/>
          <w:i w:val="false"/>
          <w:color w:val="000000"/>
          <w:sz w:val="28"/>
        </w:rPr>
        <w:t>
      9. Атмосфералық ауа сынамаларын алған кезде метеорологиялық параметрлерді бақылау жүргізіледі:</w:t>
      </w:r>
    </w:p>
    <w:bookmarkEnd w:id="21"/>
    <w:bookmarkStart w:name="z25" w:id="22"/>
    <w:p>
      <w:pPr>
        <w:spacing w:after="0"/>
        <w:ind w:left="0"/>
        <w:jc w:val="both"/>
      </w:pPr>
      <w:r>
        <w:rPr>
          <w:rFonts w:ascii="Times New Roman"/>
          <w:b w:val="false"/>
          <w:i w:val="false"/>
          <w:color w:val="000000"/>
          <w:sz w:val="28"/>
        </w:rPr>
        <w:t>
      1) желдің жылдамдығы мен бағыты;</w:t>
      </w:r>
    </w:p>
    <w:bookmarkEnd w:id="22"/>
    <w:bookmarkStart w:name="z26" w:id="23"/>
    <w:p>
      <w:pPr>
        <w:spacing w:after="0"/>
        <w:ind w:left="0"/>
        <w:jc w:val="both"/>
      </w:pPr>
      <w:r>
        <w:rPr>
          <w:rFonts w:ascii="Times New Roman"/>
          <w:b w:val="false"/>
          <w:i w:val="false"/>
          <w:color w:val="000000"/>
          <w:sz w:val="28"/>
        </w:rPr>
        <w:t>
      2) қоршаған ортаның температурасы;</w:t>
      </w:r>
    </w:p>
    <w:bookmarkEnd w:id="23"/>
    <w:bookmarkStart w:name="z27" w:id="24"/>
    <w:p>
      <w:pPr>
        <w:spacing w:after="0"/>
        <w:ind w:left="0"/>
        <w:jc w:val="both"/>
      </w:pPr>
      <w:r>
        <w:rPr>
          <w:rFonts w:ascii="Times New Roman"/>
          <w:b w:val="false"/>
          <w:i w:val="false"/>
          <w:color w:val="000000"/>
          <w:sz w:val="28"/>
        </w:rPr>
        <w:t>
      3) атмосфералық қысым;</w:t>
      </w:r>
    </w:p>
    <w:bookmarkEnd w:id="24"/>
    <w:bookmarkStart w:name="z28" w:id="25"/>
    <w:p>
      <w:pPr>
        <w:spacing w:after="0"/>
        <w:ind w:left="0"/>
        <w:jc w:val="both"/>
      </w:pPr>
      <w:r>
        <w:rPr>
          <w:rFonts w:ascii="Times New Roman"/>
          <w:b w:val="false"/>
          <w:i w:val="false"/>
          <w:color w:val="000000"/>
          <w:sz w:val="28"/>
        </w:rPr>
        <w:t>
      4) ылғалдылық;</w:t>
      </w:r>
    </w:p>
    <w:bookmarkEnd w:id="25"/>
    <w:bookmarkStart w:name="z29" w:id="26"/>
    <w:p>
      <w:pPr>
        <w:spacing w:after="0"/>
        <w:ind w:left="0"/>
        <w:jc w:val="both"/>
      </w:pPr>
      <w:r>
        <w:rPr>
          <w:rFonts w:ascii="Times New Roman"/>
          <w:b w:val="false"/>
          <w:i w:val="false"/>
          <w:color w:val="000000"/>
          <w:sz w:val="28"/>
        </w:rPr>
        <w:t>
      5) бұлт қабаты (теңіз зерттеулері кезінде);</w:t>
      </w:r>
    </w:p>
    <w:bookmarkEnd w:id="26"/>
    <w:bookmarkStart w:name="z30" w:id="27"/>
    <w:p>
      <w:pPr>
        <w:spacing w:after="0"/>
        <w:ind w:left="0"/>
        <w:jc w:val="both"/>
      </w:pPr>
      <w:r>
        <w:rPr>
          <w:rFonts w:ascii="Times New Roman"/>
          <w:b w:val="false"/>
          <w:i w:val="false"/>
          <w:color w:val="000000"/>
          <w:sz w:val="28"/>
        </w:rPr>
        <w:t>
      6) толқынның биіктігі (толқындау) және толқынның бағыты (теңіз зерттеулері кезінде).</w:t>
      </w:r>
    </w:p>
    <w:bookmarkEnd w:id="27"/>
    <w:bookmarkStart w:name="z31" w:id="28"/>
    <w:p>
      <w:pPr>
        <w:spacing w:after="0"/>
        <w:ind w:left="0"/>
        <w:jc w:val="both"/>
      </w:pPr>
      <w:r>
        <w:rPr>
          <w:rFonts w:ascii="Times New Roman"/>
          <w:b w:val="false"/>
          <w:i w:val="false"/>
          <w:color w:val="000000"/>
          <w:sz w:val="28"/>
        </w:rPr>
        <w:t>
      10. Сынаманы сұрыптау заттарды ұстауға арналған сұйық немесе қатты сорбенттермен толтырылған жұту құралдар, немесе ауадаға бөлшектерді ұстап қалатын аэрозольды сүзгілер арқылы атмосфералық ауаның белгілі көлемін аспирациялық жолмен орындалады.</w:t>
      </w:r>
    </w:p>
    <w:bookmarkEnd w:id="28"/>
    <w:bookmarkStart w:name="z32" w:id="29"/>
    <w:p>
      <w:pPr>
        <w:spacing w:after="0"/>
        <w:ind w:left="0"/>
        <w:jc w:val="both"/>
      </w:pPr>
      <w:r>
        <w:rPr>
          <w:rFonts w:ascii="Times New Roman"/>
          <w:b w:val="false"/>
          <w:i w:val="false"/>
          <w:color w:val="000000"/>
          <w:sz w:val="28"/>
        </w:rPr>
        <w:t>
      11. Өлшемдер зиянды қоспалар шоғырын үздіксіз анықтау үшін автоматтандырылған газоанализаторлар және ауаның сынамаларын жинақтауға арналған қондырғылармен жабдықталған стационарлы немесе жылжымалы бекеттерде жүргізіледі.</w:t>
      </w:r>
    </w:p>
    <w:bookmarkEnd w:id="29"/>
    <w:bookmarkStart w:name="z33" w:id="30"/>
    <w:p>
      <w:pPr>
        <w:spacing w:after="0"/>
        <w:ind w:left="0"/>
        <w:jc w:val="both"/>
      </w:pPr>
      <w:r>
        <w:rPr>
          <w:rFonts w:ascii="Times New Roman"/>
          <w:b w:val="false"/>
          <w:i w:val="false"/>
          <w:color w:val="000000"/>
          <w:sz w:val="28"/>
        </w:rPr>
        <w:t>
      12. Атмосфераның ластану деңгейін бақылау кезінде сынамаларды сұрыптаудың мынадай режимдері пайдаланады:</w:t>
      </w:r>
    </w:p>
    <w:bookmarkEnd w:id="30"/>
    <w:bookmarkStart w:name="z34" w:id="31"/>
    <w:p>
      <w:pPr>
        <w:spacing w:after="0"/>
        <w:ind w:left="0"/>
        <w:jc w:val="both"/>
      </w:pPr>
      <w:r>
        <w:rPr>
          <w:rFonts w:ascii="Times New Roman"/>
          <w:b w:val="false"/>
          <w:i w:val="false"/>
          <w:color w:val="000000"/>
          <w:sz w:val="28"/>
        </w:rPr>
        <w:t xml:space="preserve">
      1) бірреттік, 20-30 минут жалғасатын; </w:t>
      </w:r>
    </w:p>
    <w:bookmarkEnd w:id="31"/>
    <w:bookmarkStart w:name="z35" w:id="32"/>
    <w:p>
      <w:pPr>
        <w:spacing w:after="0"/>
        <w:ind w:left="0"/>
        <w:jc w:val="both"/>
      </w:pPr>
      <w:r>
        <w:rPr>
          <w:rFonts w:ascii="Times New Roman"/>
          <w:b w:val="false"/>
          <w:i w:val="false"/>
          <w:color w:val="000000"/>
          <w:sz w:val="28"/>
        </w:rPr>
        <w:t>
      2) дискретті, онда бір жұту құралдары немесе сүзгіге бірдей уақыт аралығында бір тәлік ішінде бірнеше (3 тен 8 дейін) бірреттік сынамалар алынады;</w:t>
      </w:r>
    </w:p>
    <w:bookmarkEnd w:id="32"/>
    <w:bookmarkStart w:name="z36" w:id="33"/>
    <w:p>
      <w:pPr>
        <w:spacing w:after="0"/>
        <w:ind w:left="0"/>
        <w:jc w:val="both"/>
      </w:pPr>
      <w:r>
        <w:rPr>
          <w:rFonts w:ascii="Times New Roman"/>
          <w:b w:val="false"/>
          <w:i w:val="false"/>
          <w:color w:val="000000"/>
          <w:sz w:val="28"/>
        </w:rPr>
        <w:t>
      3) тәуліктік, мұнда бір жұту құралдары немесе сүзгі сынамасы үздіксіз тәулік бойы жүргізіледі.</w:t>
      </w:r>
    </w:p>
    <w:bookmarkEnd w:id="33"/>
    <w:bookmarkStart w:name="z37" w:id="34"/>
    <w:p>
      <w:pPr>
        <w:spacing w:after="0"/>
        <w:ind w:left="0"/>
        <w:jc w:val="both"/>
      </w:pPr>
      <w:r>
        <w:rPr>
          <w:rFonts w:ascii="Times New Roman"/>
          <w:b w:val="false"/>
          <w:i w:val="false"/>
          <w:color w:val="000000"/>
          <w:sz w:val="28"/>
        </w:rPr>
        <w:t xml:space="preserve">
      13. Ауа сынамаларын алу үшін электраспираторлар немесе ауасұрыптағыштар осы әдістеменің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пайдаланылады.</w:t>
      </w:r>
    </w:p>
    <w:bookmarkEnd w:id="34"/>
    <w:bookmarkStart w:name="z38" w:id="35"/>
    <w:p>
      <w:pPr>
        <w:spacing w:after="0"/>
        <w:ind w:left="0"/>
        <w:jc w:val="both"/>
      </w:pPr>
      <w:r>
        <w:rPr>
          <w:rFonts w:ascii="Times New Roman"/>
          <w:b w:val="false"/>
          <w:i w:val="false"/>
          <w:color w:val="000000"/>
          <w:sz w:val="28"/>
        </w:rPr>
        <w:t>
      14. Сынама жүргізілген соң жұту құралдарды полиэтиленнен жасалған бітеуішпен жабылады және полиэтиленді қапшықта (ылғалдың конденсациясы жүргізілмеу үшін) сорбент қабатымен төмен термосқа орнатылады. Күкірт қос тотығы мен күкіртті сутек сынамаларын күн түсуден қорғау керек. Ауа температурасы 25</w:t>
      </w:r>
      <w:r>
        <w:rPr>
          <w:rFonts w:ascii="Times New Roman"/>
          <w:b w:val="false"/>
          <w:i w:val="false"/>
          <w:color w:val="000000"/>
          <w:vertAlign w:val="superscript"/>
        </w:rPr>
        <w:t>0</w:t>
      </w:r>
      <w:r>
        <w:rPr>
          <w:rFonts w:ascii="Times New Roman"/>
          <w:b w:val="false"/>
          <w:i w:val="false"/>
          <w:color w:val="000000"/>
          <w:sz w:val="28"/>
        </w:rPr>
        <w:t>С астам болса күкірт қос тотығына сынама тоңазытқышқа немесе полиэтиленды қапқа орнатылған және герметикалық жабық мұздардың тілімдері бар (термос көлемінің 20-30%) кең ауызды термосқа орнатылу керек.</w:t>
      </w:r>
    </w:p>
    <w:bookmarkEnd w:id="35"/>
    <w:bookmarkStart w:name="z39" w:id="36"/>
    <w:p>
      <w:pPr>
        <w:spacing w:after="0"/>
        <w:ind w:left="0"/>
        <w:jc w:val="both"/>
      </w:pPr>
      <w:r>
        <w:rPr>
          <w:rFonts w:ascii="Times New Roman"/>
          <w:b w:val="false"/>
          <w:i w:val="false"/>
          <w:color w:val="000000"/>
          <w:sz w:val="28"/>
        </w:rPr>
        <w:t xml:space="preserve">
      15. Ауа сынамаларын алу параметрлері және оларды сақтау мерзімдері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анықталады.</w:t>
      </w:r>
    </w:p>
    <w:bookmarkEnd w:id="36"/>
    <w:bookmarkStart w:name="z40" w:id="37"/>
    <w:p>
      <w:pPr>
        <w:spacing w:after="0"/>
        <w:ind w:left="0"/>
        <w:jc w:val="both"/>
      </w:pPr>
      <w:r>
        <w:rPr>
          <w:rFonts w:ascii="Times New Roman"/>
          <w:b w:val="false"/>
          <w:i w:val="false"/>
          <w:color w:val="000000"/>
          <w:sz w:val="28"/>
        </w:rPr>
        <w:t xml:space="preserve">
      16. Сынама талдау әдістері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келтірілген.</w:t>
      </w:r>
    </w:p>
    <w:bookmarkEnd w:id="37"/>
    <w:bookmarkStart w:name="z41" w:id="38"/>
    <w:p>
      <w:pPr>
        <w:spacing w:after="0"/>
        <w:ind w:left="0"/>
        <w:jc w:val="both"/>
      </w:pPr>
      <w:r>
        <w:rPr>
          <w:rFonts w:ascii="Times New Roman"/>
          <w:b w:val="false"/>
          <w:i w:val="false"/>
          <w:color w:val="000000"/>
          <w:sz w:val="28"/>
        </w:rPr>
        <w:t>
      17. Зерттеу нәтижесі бойынша атмосфералық ауаның нақты жай-күйіне талдау жүргізіледі.</w:t>
      </w:r>
    </w:p>
    <w:bookmarkEnd w:id="38"/>
    <w:bookmarkStart w:name="z42" w:id="39"/>
    <w:p>
      <w:pPr>
        <w:spacing w:after="0"/>
        <w:ind w:left="0"/>
        <w:jc w:val="both"/>
      </w:pPr>
      <w:r>
        <w:rPr>
          <w:rFonts w:ascii="Times New Roman"/>
          <w:b w:val="false"/>
          <w:i w:val="false"/>
          <w:color w:val="000000"/>
          <w:sz w:val="28"/>
        </w:rPr>
        <w:t>
      Атмосфералық ауада ластаушы заттардың өлшенген шоғырлары шоғырдың бақылау мәнімен салыстырылады.</w:t>
      </w:r>
    </w:p>
    <w:bookmarkEnd w:id="39"/>
    <w:bookmarkStart w:name="z43" w:id="40"/>
    <w:p>
      <w:pPr>
        <w:spacing w:after="0"/>
        <w:ind w:left="0"/>
        <w:jc w:val="both"/>
      </w:pPr>
      <w:r>
        <w:rPr>
          <w:rFonts w:ascii="Times New Roman"/>
          <w:b w:val="false"/>
          <w:i w:val="false"/>
          <w:color w:val="000000"/>
          <w:sz w:val="28"/>
        </w:rPr>
        <w:t>
      Тәулік бойы орташа шоғырдың мәні елді мекендер үшін шекті жол берілетін шоғырдың орташа тәуліктік мәнімен салыстырылады.</w:t>
      </w:r>
    </w:p>
    <w:bookmarkEnd w:id="40"/>
    <w:bookmarkStart w:name="z44" w:id="41"/>
    <w:p>
      <w:pPr>
        <w:spacing w:after="0"/>
        <w:ind w:left="0"/>
        <w:jc w:val="both"/>
      </w:pPr>
      <w:r>
        <w:rPr>
          <w:rFonts w:ascii="Times New Roman"/>
          <w:b w:val="false"/>
          <w:i w:val="false"/>
          <w:color w:val="000000"/>
          <w:sz w:val="28"/>
        </w:rPr>
        <w:t>
      Ластаушы заттар бойынша атмосфералық ауа сапасының нормасынан арттыру байқалған жағдайда арттыру себебі анықталады.</w:t>
      </w:r>
    </w:p>
    <w:bookmarkEnd w:id="41"/>
    <w:bookmarkStart w:name="z45" w:id="42"/>
    <w:p>
      <w:pPr>
        <w:spacing w:after="0"/>
        <w:ind w:left="0"/>
        <w:jc w:val="both"/>
      </w:pPr>
      <w:r>
        <w:rPr>
          <w:rFonts w:ascii="Times New Roman"/>
          <w:b w:val="false"/>
          <w:i w:val="false"/>
          <w:color w:val="000000"/>
          <w:sz w:val="28"/>
        </w:rPr>
        <w:t xml:space="preserve">
      18. Атмосфералық ауаның жай-күйіне бақылау жүргізу нәтижелері "Өндірістік экологиялық бақылау нәтижелері бойынша есептемеге қойылатын талаптарды бекіту туралы" Қоршаған ортаны қорғау министрінің 2013 жылғы 14 наурыздағы № 16-ө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8376 болып тіркелген) бекітілген өндірістік экологиялық бақылау нысаны бойынша есеп түрінде ресімделеді.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25.01.2016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19. Есеп тоқсан сайын, есепті тоқсаннан кейін 10 жұмыс күні ішінде қоршаған ортаны қорғаудың облыстық аумақтық басқармасына тапсырылады.</w:t>
      </w:r>
    </w:p>
    <w:bookmarkEnd w:id="43"/>
    <w:bookmarkStart w:name="z47" w:id="44"/>
    <w:p>
      <w:pPr>
        <w:spacing w:after="0"/>
        <w:ind w:left="0"/>
        <w:jc w:val="both"/>
      </w:pPr>
      <w:r>
        <w:rPr>
          <w:rFonts w:ascii="Times New Roman"/>
          <w:b w:val="false"/>
          <w:i w:val="false"/>
          <w:color w:val="000000"/>
          <w:sz w:val="28"/>
        </w:rPr>
        <w:t>
      Кварталдық есепте мыналар болады:</w:t>
      </w:r>
    </w:p>
    <w:bookmarkEnd w:id="44"/>
    <w:bookmarkStart w:name="z48" w:id="45"/>
    <w:p>
      <w:pPr>
        <w:spacing w:after="0"/>
        <w:ind w:left="0"/>
        <w:jc w:val="both"/>
      </w:pPr>
      <w:r>
        <w:rPr>
          <w:rFonts w:ascii="Times New Roman"/>
          <w:b w:val="false"/>
          <w:i w:val="false"/>
          <w:color w:val="000000"/>
          <w:sz w:val="28"/>
        </w:rPr>
        <w:t>
      1) табиғат пайдалану туралы қысқаша мәліметтер;</w:t>
      </w:r>
    </w:p>
    <w:bookmarkEnd w:id="45"/>
    <w:bookmarkStart w:name="z49" w:id="46"/>
    <w:p>
      <w:pPr>
        <w:spacing w:after="0"/>
        <w:ind w:left="0"/>
        <w:jc w:val="both"/>
      </w:pPr>
      <w:r>
        <w:rPr>
          <w:rFonts w:ascii="Times New Roman"/>
          <w:b w:val="false"/>
          <w:i w:val="false"/>
          <w:color w:val="000000"/>
          <w:sz w:val="28"/>
        </w:rPr>
        <w:t>
      2) мониторинг жүзеге асырған мердігер ұйым немесе құрылым туралы қысқаша мәліметтер;</w:t>
      </w:r>
    </w:p>
    <w:bookmarkEnd w:id="46"/>
    <w:bookmarkStart w:name="z50" w:id="47"/>
    <w:p>
      <w:pPr>
        <w:spacing w:after="0"/>
        <w:ind w:left="0"/>
        <w:jc w:val="both"/>
      </w:pPr>
      <w:r>
        <w:rPr>
          <w:rFonts w:ascii="Times New Roman"/>
          <w:b w:val="false"/>
          <w:i w:val="false"/>
          <w:color w:val="000000"/>
          <w:sz w:val="28"/>
        </w:rPr>
        <w:t>
      3) мониторинг жүйелерінің сипаттамасы (бақыланатын компоненттер мен объектілер, сұрыптау нүктелері, кезеңдігі, талданатын ингредиенттер);</w:t>
      </w:r>
    </w:p>
    <w:bookmarkEnd w:id="47"/>
    <w:bookmarkStart w:name="z51" w:id="48"/>
    <w:p>
      <w:pPr>
        <w:spacing w:after="0"/>
        <w:ind w:left="0"/>
        <w:jc w:val="both"/>
      </w:pPr>
      <w:r>
        <w:rPr>
          <w:rFonts w:ascii="Times New Roman"/>
          <w:b w:val="false"/>
          <w:i w:val="false"/>
          <w:color w:val="000000"/>
          <w:sz w:val="28"/>
        </w:rPr>
        <w:t>
      4) мониторинг жүргізу әдісі (сұрыптау әдістері, сынамаларды сақтау, тасымалдау және талдау);</w:t>
      </w:r>
    </w:p>
    <w:bookmarkEnd w:id="48"/>
    <w:bookmarkStart w:name="z52" w:id="49"/>
    <w:p>
      <w:pPr>
        <w:spacing w:after="0"/>
        <w:ind w:left="0"/>
        <w:jc w:val="both"/>
      </w:pPr>
      <w:r>
        <w:rPr>
          <w:rFonts w:ascii="Times New Roman"/>
          <w:b w:val="false"/>
          <w:i w:val="false"/>
          <w:color w:val="000000"/>
          <w:sz w:val="28"/>
        </w:rPr>
        <w:t>
      5) зерттеу нәтижелері (сынамаларды талдау нәтижелері, динамикалық және кеңістікті талдау).</w:t>
      </w:r>
    </w:p>
    <w:bookmarkEnd w:id="49"/>
    <w:bookmarkStart w:name="z53" w:id="50"/>
    <w:p>
      <w:pPr>
        <w:spacing w:after="0"/>
        <w:ind w:left="0"/>
        <w:jc w:val="both"/>
      </w:pPr>
      <w:r>
        <w:rPr>
          <w:rFonts w:ascii="Times New Roman"/>
          <w:b w:val="false"/>
          <w:i w:val="false"/>
          <w:color w:val="000000"/>
          <w:sz w:val="28"/>
        </w:rPr>
        <w:t>
      20. Табиғат пайдаланушы газ мониторингінің нәтижесі бойынша еркін түрінде жыл сайынғы есепті дайындайды.</w:t>
      </w:r>
    </w:p>
    <w:bookmarkEnd w:id="50"/>
    <w:bookmarkStart w:name="z54" w:id="51"/>
    <w:p>
      <w:pPr>
        <w:spacing w:after="0"/>
        <w:ind w:left="0"/>
        <w:jc w:val="both"/>
      </w:pPr>
      <w:r>
        <w:rPr>
          <w:rFonts w:ascii="Times New Roman"/>
          <w:b w:val="false"/>
          <w:i w:val="false"/>
          <w:color w:val="000000"/>
          <w:sz w:val="28"/>
        </w:rPr>
        <w:t>
      Жылдық есеп тоқсандық есепке кіретін, аталған ұстанымдардан басқа үш жылдың ішіндегі динамиканы талдаудан, ластану деңгейінің жоғарлауы немесе азаю себебін талдаудан, қоршаған ортаға кәсіпорынның әсерін кешенді бағалаудан тұрады.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тұрмыстық қалдықтар</w:t>
            </w:r>
            <w:r>
              <w:br/>
            </w:r>
            <w:r>
              <w:rPr>
                <w:rFonts w:ascii="Times New Roman"/>
                <w:b w:val="false"/>
                <w:i w:val="false"/>
                <w:color w:val="000000"/>
                <w:sz w:val="20"/>
              </w:rPr>
              <w:t>полигонының әрбір секция</w:t>
            </w:r>
            <w:r>
              <w:br/>
            </w:r>
            <w:r>
              <w:rPr>
                <w:rFonts w:ascii="Times New Roman"/>
                <w:b w:val="false"/>
                <w:i w:val="false"/>
                <w:color w:val="000000"/>
                <w:sz w:val="20"/>
              </w:rPr>
              <w:t>бойынша газ мониторингін</w:t>
            </w:r>
            <w:r>
              <w:br/>
            </w:r>
            <w:r>
              <w:rPr>
                <w:rFonts w:ascii="Times New Roman"/>
                <w:b w:val="false"/>
                <w:i w:val="false"/>
                <w:color w:val="000000"/>
                <w:sz w:val="20"/>
              </w:rPr>
              <w:t>жүргізу әдістемесіне</w:t>
            </w:r>
            <w:r>
              <w:br/>
            </w:r>
            <w:r>
              <w:rPr>
                <w:rFonts w:ascii="Times New Roman"/>
                <w:b w:val="false"/>
                <w:i w:val="false"/>
                <w:color w:val="000000"/>
                <w:sz w:val="20"/>
              </w:rPr>
              <w:t>1-қосымша</w:t>
            </w:r>
          </w:p>
        </w:tc>
      </w:tr>
    </w:tbl>
    <w:bookmarkStart w:name="z56" w:id="52"/>
    <w:p>
      <w:pPr>
        <w:spacing w:after="0"/>
        <w:ind w:left="0"/>
        <w:jc w:val="left"/>
      </w:pPr>
      <w:r>
        <w:rPr>
          <w:rFonts w:ascii="Times New Roman"/>
          <w:b/>
          <w:i w:val="false"/>
          <w:color w:val="000000"/>
        </w:rPr>
        <w:t xml:space="preserve"> Бақылау желісін ұйымдастыру әдістері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2578"/>
        <w:gridCol w:w="1657"/>
        <w:gridCol w:w="2117"/>
        <w:gridCol w:w="1657"/>
        <w:gridCol w:w="3095"/>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Кезеңділігі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объектісі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нүктесінің орналасу орны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точек</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параметрлері</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СҚА шекарасында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(метан);</w:t>
            </w:r>
          </w:p>
          <w:p>
            <w:pPr>
              <w:spacing w:after="20"/>
              <w:ind w:left="20"/>
              <w:jc w:val="both"/>
            </w:pPr>
            <w:r>
              <w:rPr>
                <w:rFonts w:ascii="Times New Roman"/>
                <w:b w:val="false"/>
                <w:i w:val="false"/>
                <w:color w:val="000000"/>
                <w:sz w:val="20"/>
              </w:rPr>
              <w:t>
күкіртсутек;</w:t>
            </w:r>
          </w:p>
          <w:p>
            <w:pPr>
              <w:spacing w:after="20"/>
              <w:ind w:left="20"/>
              <w:jc w:val="both"/>
            </w:pPr>
            <w:r>
              <w:rPr>
                <w:rFonts w:ascii="Times New Roman"/>
                <w:b w:val="false"/>
                <w:i w:val="false"/>
                <w:color w:val="000000"/>
                <w:sz w:val="20"/>
              </w:rPr>
              <w:t>
көміртек қос тотығы серы диоксид;</w:t>
            </w:r>
          </w:p>
          <w:p>
            <w:pPr>
              <w:spacing w:after="20"/>
              <w:ind w:left="20"/>
              <w:jc w:val="both"/>
            </w:pPr>
            <w:r>
              <w:rPr>
                <w:rFonts w:ascii="Times New Roman"/>
                <w:b w:val="false"/>
                <w:i w:val="false"/>
                <w:color w:val="000000"/>
                <w:sz w:val="20"/>
              </w:rPr>
              <w:t>
азота оксид;</w:t>
            </w:r>
          </w:p>
          <w:p>
            <w:pPr>
              <w:spacing w:after="20"/>
              <w:ind w:left="20"/>
              <w:jc w:val="both"/>
            </w:pPr>
            <w:r>
              <w:rPr>
                <w:rFonts w:ascii="Times New Roman"/>
                <w:b w:val="false"/>
                <w:i w:val="false"/>
                <w:color w:val="000000"/>
                <w:sz w:val="20"/>
              </w:rPr>
              <w:t>
азота диоксид.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тұрмыстық қалдықтар</w:t>
            </w:r>
            <w:r>
              <w:br/>
            </w:r>
            <w:r>
              <w:rPr>
                <w:rFonts w:ascii="Times New Roman"/>
                <w:b w:val="false"/>
                <w:i w:val="false"/>
                <w:color w:val="000000"/>
                <w:sz w:val="20"/>
              </w:rPr>
              <w:t>полигонының әрбір секция</w:t>
            </w:r>
            <w:r>
              <w:br/>
            </w:r>
            <w:r>
              <w:rPr>
                <w:rFonts w:ascii="Times New Roman"/>
                <w:b w:val="false"/>
                <w:i w:val="false"/>
                <w:color w:val="000000"/>
                <w:sz w:val="20"/>
              </w:rPr>
              <w:t>бойынша газ мониторингін</w:t>
            </w:r>
            <w:r>
              <w:br/>
            </w:r>
            <w:r>
              <w:rPr>
                <w:rFonts w:ascii="Times New Roman"/>
                <w:b w:val="false"/>
                <w:i w:val="false"/>
                <w:color w:val="000000"/>
                <w:sz w:val="20"/>
              </w:rPr>
              <w:t>жүргізу әдістемесіне</w:t>
            </w:r>
            <w:r>
              <w:br/>
            </w:r>
            <w:r>
              <w:rPr>
                <w:rFonts w:ascii="Times New Roman"/>
                <w:b w:val="false"/>
                <w:i w:val="false"/>
                <w:color w:val="000000"/>
                <w:sz w:val="20"/>
              </w:rPr>
              <w:t>2-қосымша</w:t>
            </w:r>
          </w:p>
        </w:tc>
      </w:tr>
    </w:tbl>
    <w:bookmarkStart w:name="z58" w:id="53"/>
    <w:p>
      <w:pPr>
        <w:spacing w:after="0"/>
        <w:ind w:left="0"/>
        <w:jc w:val="left"/>
      </w:pPr>
      <w:r>
        <w:rPr>
          <w:rFonts w:ascii="Times New Roman"/>
          <w:b/>
          <w:i w:val="false"/>
          <w:color w:val="000000"/>
        </w:rPr>
        <w:t xml:space="preserve"> Ауа сынамаларын алуға арналған жабдықтардың тізбесі мен параметрлері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6"/>
        <w:gridCol w:w="1286"/>
        <w:gridCol w:w="2002"/>
        <w:gridCol w:w="7726"/>
      </w:tblGrid>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Аспап/қондырғының аталуы</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Қондырғының негізгі техникалық сипаттамалары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w:t>
            </w:r>
          </w:p>
        </w:tc>
        <w:tc>
          <w:tcPr>
            <w:tcW w:w="7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көлемді шығынымен ауа/газ сынамаларын алуға арналған.</w:t>
            </w:r>
          </w:p>
          <w:p>
            <w:pPr>
              <w:spacing w:after="20"/>
              <w:ind w:left="20"/>
              <w:jc w:val="both"/>
            </w:pPr>
            <w:r>
              <w:rPr>
                <w:rFonts w:ascii="Times New Roman"/>
                <w:b w:val="false"/>
                <w:i w:val="false"/>
                <w:color w:val="000000"/>
                <w:sz w:val="20"/>
              </w:rPr>
              <w:t>
Жұмыс аймағының ауасы мен атмосфералық ауасын бақылау кезінде белгіленген шығын мен сору уақыты бойынша белгіленген көлемінің сынамаларын жүргізуге мүмкіндік жасайды.</w:t>
            </w:r>
          </w:p>
          <w:p>
            <w:pPr>
              <w:spacing w:after="20"/>
              <w:ind w:left="20"/>
              <w:jc w:val="both"/>
            </w:pPr>
            <w:r>
              <w:rPr>
                <w:rFonts w:ascii="Times New Roman"/>
                <w:b w:val="false"/>
                <w:i w:val="false"/>
                <w:color w:val="000000"/>
                <w:sz w:val="20"/>
              </w:rPr>
              <w:t>
Таймермен жабдықталған жылжымалы, көпканалды автоматтандырылған жабдық.</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қос тотығы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тотығы</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жапқышы бар пластикалық бөтелке</w:t>
            </w:r>
          </w:p>
        </w:tc>
        <w:tc>
          <w:tcPr>
            <w:tcW w:w="7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тұрмыстық қалдықтар</w:t>
            </w:r>
            <w:r>
              <w:br/>
            </w:r>
            <w:r>
              <w:rPr>
                <w:rFonts w:ascii="Times New Roman"/>
                <w:b w:val="false"/>
                <w:i w:val="false"/>
                <w:color w:val="000000"/>
                <w:sz w:val="20"/>
              </w:rPr>
              <w:t>полигонының әрбір секция</w:t>
            </w:r>
            <w:r>
              <w:br/>
            </w:r>
            <w:r>
              <w:rPr>
                <w:rFonts w:ascii="Times New Roman"/>
                <w:b w:val="false"/>
                <w:i w:val="false"/>
                <w:color w:val="000000"/>
                <w:sz w:val="20"/>
              </w:rPr>
              <w:t>бойынша газ мониторингін</w:t>
            </w:r>
            <w:r>
              <w:br/>
            </w:r>
            <w:r>
              <w:rPr>
                <w:rFonts w:ascii="Times New Roman"/>
                <w:b w:val="false"/>
                <w:i w:val="false"/>
                <w:color w:val="000000"/>
                <w:sz w:val="20"/>
              </w:rPr>
              <w:t>жүргізу әдістемесіне</w:t>
            </w:r>
            <w:r>
              <w:br/>
            </w:r>
            <w:r>
              <w:rPr>
                <w:rFonts w:ascii="Times New Roman"/>
                <w:b w:val="false"/>
                <w:i w:val="false"/>
                <w:color w:val="000000"/>
                <w:sz w:val="20"/>
              </w:rPr>
              <w:t>3-қосымша</w:t>
            </w:r>
          </w:p>
        </w:tc>
      </w:tr>
    </w:tbl>
    <w:bookmarkStart w:name="z60" w:id="54"/>
    <w:p>
      <w:pPr>
        <w:spacing w:after="0"/>
        <w:ind w:left="0"/>
        <w:jc w:val="left"/>
      </w:pPr>
      <w:r>
        <w:rPr>
          <w:rFonts w:ascii="Times New Roman"/>
          <w:b/>
          <w:i w:val="false"/>
          <w:color w:val="000000"/>
        </w:rPr>
        <w:t xml:space="preserve"> Улы заттарды анықтауға арналған индикаторлық түтіктердің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11"/>
        <w:gridCol w:w="5790"/>
        <w:gridCol w:w="5291"/>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зат</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ИТ</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шоғырдың диапазоны, г/м</w:t>
            </w:r>
            <w:r>
              <w:rPr>
                <w:rFonts w:ascii="Times New Roman"/>
                <w:b w:val="false"/>
                <w:i w:val="false"/>
                <w:color w:val="000000"/>
                <w:vertAlign w:val="superscript"/>
              </w:rPr>
              <w:t>3</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Күкіртсутек</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ГХПВ ТИ Н</w:t>
            </w:r>
            <w:r>
              <w:rPr>
                <w:rFonts w:ascii="Times New Roman"/>
                <w:b w:val="false"/>
                <w:i w:val="false"/>
                <w:color w:val="000000"/>
                <w:vertAlign w:val="subscript"/>
              </w:rPr>
              <w:t>2</w:t>
            </w:r>
            <w:r>
              <w:rPr>
                <w:rFonts w:ascii="Times New Roman"/>
                <w:b w:val="false"/>
                <w:i w:val="false"/>
                <w:color w:val="000000"/>
                <w:sz w:val="20"/>
              </w:rPr>
              <w:t>S-1,5</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ГX-M H</w:t>
            </w:r>
            <w:r>
              <w:rPr>
                <w:rFonts w:ascii="Times New Roman"/>
                <w:b w:val="false"/>
                <w:i w:val="false"/>
                <w:color w:val="000000"/>
                <w:vertAlign w:val="subscript"/>
              </w:rPr>
              <w:t>2</w:t>
            </w:r>
            <w:r>
              <w:rPr>
                <w:rFonts w:ascii="Times New Roman"/>
                <w:b w:val="false"/>
                <w:i w:val="false"/>
                <w:color w:val="000000"/>
                <w:sz w:val="20"/>
              </w:rPr>
              <w:t>S-0,0066</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ГX-E H</w:t>
            </w:r>
            <w:r>
              <w:rPr>
                <w:rFonts w:ascii="Times New Roman"/>
                <w:b w:val="false"/>
                <w:i w:val="false"/>
                <w:color w:val="000000"/>
                <w:vertAlign w:val="subscript"/>
              </w:rPr>
              <w:t>2</w:t>
            </w:r>
            <w:r>
              <w:rPr>
                <w:rFonts w:ascii="Times New Roman"/>
                <w:b w:val="false"/>
                <w:i w:val="false"/>
                <w:color w:val="000000"/>
                <w:sz w:val="20"/>
              </w:rPr>
              <w:t>S-0,0066</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Күкіртсутекке ИТ</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Күкіртсутекке КИТ</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0,004 - 0,20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оксиды</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ГХПВТИ СО-1,0</w:t>
            </w:r>
          </w:p>
          <w:p>
            <w:pPr>
              <w:spacing w:after="20"/>
              <w:ind w:left="20"/>
              <w:jc w:val="both"/>
            </w:pPr>
            <w:r>
              <w:rPr>
                <w:rFonts w:ascii="Times New Roman"/>
                <w:b w:val="false"/>
                <w:i w:val="false"/>
                <w:color w:val="000000"/>
                <w:sz w:val="20"/>
              </w:rPr>
              <w:t>
ГХ - М СО - 0,25</w:t>
            </w:r>
          </w:p>
          <w:p>
            <w:pPr>
              <w:spacing w:after="20"/>
              <w:ind w:left="20"/>
              <w:jc w:val="both"/>
            </w:pPr>
            <w:r>
              <w:rPr>
                <w:rFonts w:ascii="Times New Roman"/>
                <w:b w:val="false"/>
                <w:i w:val="false"/>
                <w:color w:val="000000"/>
                <w:sz w:val="20"/>
              </w:rPr>
              <w:t>
ГХ - М СО - 0,5</w:t>
            </w:r>
          </w:p>
          <w:p>
            <w:pPr>
              <w:spacing w:after="20"/>
              <w:ind w:left="20"/>
              <w:jc w:val="both"/>
            </w:pPr>
            <w:r>
              <w:rPr>
                <w:rFonts w:ascii="Times New Roman"/>
                <w:b w:val="false"/>
                <w:i w:val="false"/>
                <w:color w:val="000000"/>
                <w:sz w:val="20"/>
              </w:rPr>
              <w:t>
ГХ - Е СО - 0,25</w:t>
            </w:r>
          </w:p>
          <w:p>
            <w:pPr>
              <w:spacing w:after="20"/>
              <w:ind w:left="20"/>
              <w:jc w:val="both"/>
            </w:pPr>
            <w:r>
              <w:rPr>
                <w:rFonts w:ascii="Times New Roman"/>
                <w:b w:val="false"/>
                <w:i w:val="false"/>
                <w:color w:val="000000"/>
                <w:sz w:val="20"/>
              </w:rPr>
              <w:t>
ГХ - Е СО - 5</w:t>
            </w:r>
          </w:p>
          <w:p>
            <w:pPr>
              <w:spacing w:after="20"/>
              <w:ind w:left="20"/>
              <w:jc w:val="both"/>
            </w:pPr>
            <w:r>
              <w:rPr>
                <w:rFonts w:ascii="Times New Roman"/>
                <w:b w:val="false"/>
                <w:i w:val="false"/>
                <w:color w:val="000000"/>
                <w:sz w:val="20"/>
              </w:rPr>
              <w:t>
ИТ-СО</w:t>
            </w:r>
          </w:p>
          <w:p>
            <w:pPr>
              <w:spacing w:after="20"/>
              <w:ind w:left="20"/>
              <w:jc w:val="both"/>
            </w:pPr>
            <w:r>
              <w:rPr>
                <w:rFonts w:ascii="Times New Roman"/>
                <w:b w:val="false"/>
                <w:i w:val="false"/>
                <w:color w:val="000000"/>
                <w:sz w:val="20"/>
              </w:rPr>
              <w:t>
ТИ СО - 2,5</w:t>
            </w:r>
          </w:p>
          <w:p>
            <w:pPr>
              <w:spacing w:after="20"/>
              <w:ind w:left="20"/>
              <w:jc w:val="both"/>
            </w:pPr>
            <w:r>
              <w:rPr>
                <w:rFonts w:ascii="Times New Roman"/>
                <w:b w:val="false"/>
                <w:i w:val="false"/>
                <w:color w:val="000000"/>
                <w:sz w:val="20"/>
              </w:rPr>
              <w:t>
Көміртек оксидіне ИТ</w:t>
            </w:r>
          </w:p>
          <w:p>
            <w:pPr>
              <w:spacing w:after="20"/>
              <w:ind w:left="20"/>
              <w:jc w:val="both"/>
            </w:pPr>
            <w:r>
              <w:rPr>
                <w:rFonts w:ascii="Times New Roman"/>
                <w:b w:val="false"/>
                <w:i w:val="false"/>
                <w:color w:val="000000"/>
                <w:sz w:val="20"/>
              </w:rPr>
              <w:t>
ИТ-28;</w:t>
            </w:r>
          </w:p>
          <w:p>
            <w:pPr>
              <w:spacing w:after="20"/>
              <w:ind w:left="20"/>
              <w:jc w:val="both"/>
            </w:pPr>
            <w:r>
              <w:rPr>
                <w:rFonts w:ascii="Times New Roman"/>
                <w:b w:val="false"/>
                <w:i w:val="false"/>
                <w:color w:val="000000"/>
                <w:sz w:val="20"/>
              </w:rPr>
              <w:t>
BN-39</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0,05 - 1,00</w:t>
            </w:r>
          </w:p>
          <w:p>
            <w:pPr>
              <w:spacing w:after="20"/>
              <w:ind w:left="20"/>
              <w:jc w:val="both"/>
            </w:pPr>
            <w:r>
              <w:rPr>
                <w:rFonts w:ascii="Times New Roman"/>
                <w:b w:val="false"/>
                <w:i w:val="false"/>
                <w:color w:val="000000"/>
                <w:sz w:val="20"/>
              </w:rPr>
              <w:t>
0,006 - 3,00</w:t>
            </w:r>
          </w:p>
          <w:p>
            <w:pPr>
              <w:spacing w:after="20"/>
              <w:ind w:left="20"/>
              <w:jc w:val="both"/>
            </w:pPr>
            <w:r>
              <w:rPr>
                <w:rFonts w:ascii="Times New Roman"/>
                <w:b w:val="false"/>
                <w:i w:val="false"/>
                <w:color w:val="000000"/>
                <w:sz w:val="20"/>
              </w:rPr>
              <w:t>
3,0 - 60,0</w:t>
            </w:r>
          </w:p>
          <w:p>
            <w:pPr>
              <w:spacing w:after="20"/>
              <w:ind w:left="20"/>
              <w:jc w:val="both"/>
            </w:pPr>
            <w:r>
              <w:rPr>
                <w:rFonts w:ascii="Times New Roman"/>
                <w:b w:val="false"/>
                <w:i w:val="false"/>
                <w:color w:val="000000"/>
                <w:sz w:val="20"/>
              </w:rPr>
              <w:t>
0,006 - 3,00</w:t>
            </w:r>
          </w:p>
          <w:p>
            <w:pPr>
              <w:spacing w:after="20"/>
              <w:ind w:left="20"/>
              <w:jc w:val="both"/>
            </w:pPr>
            <w:r>
              <w:rPr>
                <w:rFonts w:ascii="Times New Roman"/>
                <w:b w:val="false"/>
                <w:i w:val="false"/>
                <w:color w:val="000000"/>
                <w:sz w:val="20"/>
              </w:rPr>
              <w:t>
3,0 - 60,0</w:t>
            </w:r>
          </w:p>
          <w:p>
            <w:pPr>
              <w:spacing w:after="20"/>
              <w:ind w:left="20"/>
              <w:jc w:val="both"/>
            </w:pPr>
            <w:r>
              <w:rPr>
                <w:rFonts w:ascii="Times New Roman"/>
                <w:b w:val="false"/>
                <w:i w:val="false"/>
                <w:color w:val="000000"/>
                <w:sz w:val="20"/>
              </w:rPr>
              <w:t>
0,005 - 0,03</w:t>
            </w:r>
          </w:p>
          <w:p>
            <w:pPr>
              <w:spacing w:after="20"/>
              <w:ind w:left="20"/>
              <w:jc w:val="both"/>
            </w:pPr>
            <w:r>
              <w:rPr>
                <w:rFonts w:ascii="Times New Roman"/>
                <w:b w:val="false"/>
                <w:i w:val="false"/>
                <w:color w:val="000000"/>
                <w:sz w:val="20"/>
              </w:rPr>
              <w:t>
0,1 - 2,5</w:t>
            </w:r>
          </w:p>
          <w:p>
            <w:pPr>
              <w:spacing w:after="20"/>
              <w:ind w:left="20"/>
              <w:jc w:val="both"/>
            </w:pPr>
            <w:r>
              <w:rPr>
                <w:rFonts w:ascii="Times New Roman"/>
                <w:b w:val="false"/>
                <w:i w:val="false"/>
                <w:color w:val="000000"/>
                <w:sz w:val="20"/>
              </w:rPr>
              <w:t>
0,005 - 0,05</w:t>
            </w:r>
          </w:p>
          <w:p>
            <w:pPr>
              <w:spacing w:after="20"/>
              <w:ind w:left="20"/>
              <w:jc w:val="both"/>
            </w:pPr>
            <w:r>
              <w:rPr>
                <w:rFonts w:ascii="Times New Roman"/>
                <w:b w:val="false"/>
                <w:i w:val="false"/>
                <w:color w:val="000000"/>
                <w:sz w:val="20"/>
              </w:rPr>
              <w:t>
0,10 - 1,0</w:t>
            </w:r>
          </w:p>
          <w:p>
            <w:pPr>
              <w:spacing w:after="20"/>
              <w:ind w:left="20"/>
              <w:jc w:val="both"/>
            </w:pPr>
            <w:r>
              <w:rPr>
                <w:rFonts w:ascii="Times New Roman"/>
                <w:b w:val="false"/>
                <w:i w:val="false"/>
                <w:color w:val="000000"/>
                <w:sz w:val="20"/>
              </w:rPr>
              <w:t>
0,35 - 7,0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ГХПВ TH-S02-1,5</w:t>
            </w:r>
          </w:p>
          <w:p>
            <w:pPr>
              <w:spacing w:after="20"/>
              <w:ind w:left="20"/>
              <w:jc w:val="both"/>
            </w:pPr>
            <w:r>
              <w:rPr>
                <w:rFonts w:ascii="Times New Roman"/>
                <w:b w:val="false"/>
                <w:i w:val="false"/>
                <w:color w:val="000000"/>
                <w:sz w:val="20"/>
              </w:rPr>
              <w:t>
ГХ-М SO2-0,007</w:t>
            </w:r>
          </w:p>
          <w:p>
            <w:pPr>
              <w:spacing w:after="20"/>
              <w:ind w:left="20"/>
              <w:jc w:val="both"/>
            </w:pPr>
            <w:r>
              <w:rPr>
                <w:rFonts w:ascii="Times New Roman"/>
                <w:b w:val="false"/>
                <w:i w:val="false"/>
                <w:color w:val="000000"/>
                <w:sz w:val="20"/>
              </w:rPr>
              <w:t>
ГХ-Е SO2-0.007</w:t>
            </w:r>
          </w:p>
          <w:p>
            <w:pPr>
              <w:spacing w:after="20"/>
              <w:ind w:left="20"/>
              <w:jc w:val="both"/>
            </w:pPr>
            <w:r>
              <w:rPr>
                <w:rFonts w:ascii="Times New Roman"/>
                <w:b w:val="false"/>
                <w:i w:val="false"/>
                <w:color w:val="000000"/>
                <w:sz w:val="20"/>
              </w:rPr>
              <w:t>
ИТ-ДС</w:t>
            </w:r>
          </w:p>
          <w:p>
            <w:pPr>
              <w:spacing w:after="20"/>
              <w:ind w:left="20"/>
              <w:jc w:val="both"/>
            </w:pPr>
            <w:r>
              <w:rPr>
                <w:rFonts w:ascii="Times New Roman"/>
                <w:b w:val="false"/>
                <w:i w:val="false"/>
                <w:color w:val="000000"/>
                <w:sz w:val="20"/>
              </w:rPr>
              <w:t>
ТИ SO2-0,7</w:t>
            </w:r>
          </w:p>
          <w:p>
            <w:pPr>
              <w:spacing w:after="20"/>
              <w:ind w:left="20"/>
              <w:jc w:val="both"/>
            </w:pPr>
            <w:r>
              <w:rPr>
                <w:rFonts w:ascii="Times New Roman"/>
                <w:b w:val="false"/>
                <w:i w:val="false"/>
                <w:color w:val="000000"/>
                <w:sz w:val="20"/>
              </w:rPr>
              <w:t>
ТИ SO2-0,06</w:t>
            </w:r>
          </w:p>
          <w:p>
            <w:pPr>
              <w:spacing w:after="20"/>
              <w:ind w:left="20"/>
              <w:jc w:val="both"/>
            </w:pPr>
            <w:r>
              <w:rPr>
                <w:rFonts w:ascii="Times New Roman"/>
                <w:b w:val="false"/>
                <w:i w:val="false"/>
                <w:color w:val="000000"/>
                <w:sz w:val="20"/>
              </w:rPr>
              <w:t xml:space="preserve">
Күкірт диоксидіне ИТ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0,005 - 1,50</w:t>
            </w:r>
          </w:p>
          <w:p>
            <w:pPr>
              <w:spacing w:after="20"/>
              <w:ind w:left="20"/>
              <w:jc w:val="both"/>
            </w:pPr>
            <w:r>
              <w:rPr>
                <w:rFonts w:ascii="Times New Roman"/>
                <w:b w:val="false"/>
                <w:i w:val="false"/>
                <w:color w:val="000000"/>
                <w:sz w:val="20"/>
              </w:rPr>
              <w:t>
0,0057 - 0,2000</w:t>
            </w:r>
          </w:p>
          <w:p>
            <w:pPr>
              <w:spacing w:after="20"/>
              <w:ind w:left="20"/>
              <w:jc w:val="both"/>
            </w:pPr>
            <w:r>
              <w:rPr>
                <w:rFonts w:ascii="Times New Roman"/>
                <w:b w:val="false"/>
                <w:i w:val="false"/>
                <w:color w:val="000000"/>
                <w:sz w:val="20"/>
              </w:rPr>
              <w:t>
0,0057 - 0,2000</w:t>
            </w:r>
          </w:p>
          <w:p>
            <w:pPr>
              <w:spacing w:after="20"/>
              <w:ind w:left="20"/>
              <w:jc w:val="both"/>
            </w:pPr>
            <w:r>
              <w:rPr>
                <w:rFonts w:ascii="Times New Roman"/>
                <w:b w:val="false"/>
                <w:i w:val="false"/>
                <w:color w:val="000000"/>
                <w:sz w:val="20"/>
              </w:rPr>
              <w:t>
0,05 - 0,200</w:t>
            </w:r>
          </w:p>
          <w:p>
            <w:pPr>
              <w:spacing w:after="20"/>
              <w:ind w:left="20"/>
              <w:jc w:val="both"/>
            </w:pPr>
            <w:r>
              <w:rPr>
                <w:rFonts w:ascii="Times New Roman"/>
                <w:b w:val="false"/>
                <w:i w:val="false"/>
                <w:color w:val="000000"/>
                <w:sz w:val="20"/>
              </w:rPr>
              <w:t>
0,005 - 0,02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тұрмыстық қалдықтар</w:t>
            </w:r>
            <w:r>
              <w:br/>
            </w:r>
            <w:r>
              <w:rPr>
                <w:rFonts w:ascii="Times New Roman"/>
                <w:b w:val="false"/>
                <w:i w:val="false"/>
                <w:color w:val="000000"/>
                <w:sz w:val="20"/>
              </w:rPr>
              <w:t>полигонының әрбір секция</w:t>
            </w:r>
            <w:r>
              <w:br/>
            </w:r>
            <w:r>
              <w:rPr>
                <w:rFonts w:ascii="Times New Roman"/>
                <w:b w:val="false"/>
                <w:i w:val="false"/>
                <w:color w:val="000000"/>
                <w:sz w:val="20"/>
              </w:rPr>
              <w:t>бойынша газ мониторингін</w:t>
            </w:r>
            <w:r>
              <w:br/>
            </w:r>
            <w:r>
              <w:rPr>
                <w:rFonts w:ascii="Times New Roman"/>
                <w:b w:val="false"/>
                <w:i w:val="false"/>
                <w:color w:val="000000"/>
                <w:sz w:val="20"/>
              </w:rPr>
              <w:t>жүргізу әдістемесіне</w:t>
            </w:r>
            <w:r>
              <w:br/>
            </w:r>
            <w:r>
              <w:rPr>
                <w:rFonts w:ascii="Times New Roman"/>
                <w:b w:val="false"/>
                <w:i w:val="false"/>
                <w:color w:val="000000"/>
                <w:sz w:val="20"/>
              </w:rPr>
              <w:t>4-қосымша</w:t>
            </w:r>
          </w:p>
        </w:tc>
      </w:tr>
    </w:tbl>
    <w:bookmarkStart w:name="z62" w:id="55"/>
    <w:p>
      <w:pPr>
        <w:spacing w:after="0"/>
        <w:ind w:left="0"/>
        <w:jc w:val="left"/>
      </w:pPr>
      <w:r>
        <w:rPr>
          <w:rFonts w:ascii="Times New Roman"/>
          <w:b/>
          <w:i w:val="false"/>
          <w:color w:val="000000"/>
        </w:rPr>
        <w:t xml:space="preserve"> Ауа сынамаларын сұрыптау параметрлері және оларды сақтау мерзімдері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4"/>
        <w:gridCol w:w="2997"/>
        <w:gridCol w:w="2802"/>
        <w:gridCol w:w="1124"/>
        <w:gridCol w:w="2599"/>
        <w:gridCol w:w="1330"/>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көлемі,</w:t>
            </w:r>
          </w:p>
          <w:p>
            <w:pPr>
              <w:spacing w:after="20"/>
              <w:ind w:left="20"/>
              <w:jc w:val="both"/>
            </w:pPr>
            <w:r>
              <w:rPr>
                <w:rFonts w:ascii="Times New Roman"/>
                <w:b w:val="false"/>
                <w:i w:val="false"/>
                <w:color w:val="000000"/>
                <w:sz w:val="20"/>
              </w:rPr>
              <w:t>
дм</w:t>
            </w:r>
            <w:r>
              <w:rPr>
                <w:rFonts w:ascii="Times New Roman"/>
                <w:b w:val="false"/>
                <w:i w:val="false"/>
                <w:color w:val="000000"/>
                <w:vertAlign w:val="superscript"/>
              </w:rPr>
              <w:t>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Аспирацияның жылдамдығы</w:t>
            </w:r>
          </w:p>
          <w:p>
            <w:pPr>
              <w:spacing w:after="20"/>
              <w:ind w:left="20"/>
              <w:jc w:val="both"/>
            </w:pPr>
            <w:r>
              <w:rPr>
                <w:rFonts w:ascii="Times New Roman"/>
                <w:b w:val="false"/>
                <w:i w:val="false"/>
                <w:color w:val="000000"/>
                <w:sz w:val="20"/>
              </w:rPr>
              <w:t>
(ауа сынамаларын алу жылдамдығы), дм/мин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ұзақтылығы, мин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алуға арналған қондырғы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Сорбциялық түтіктер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қос тотығы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күн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Сорбциялық түтіктер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 5-8ҮС</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Сорбциялық түтіктер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тотығы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 жапқышы бар пластикалық бөтелке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 – ХП сүзгілер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жапқышы бар пластикалық бөтелке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тұрмыстық қалдықтар</w:t>
            </w:r>
            <w:r>
              <w:br/>
            </w:r>
            <w:r>
              <w:rPr>
                <w:rFonts w:ascii="Times New Roman"/>
                <w:b w:val="false"/>
                <w:i w:val="false"/>
                <w:color w:val="000000"/>
                <w:sz w:val="20"/>
              </w:rPr>
              <w:t>полигонының әрбір секция</w:t>
            </w:r>
            <w:r>
              <w:br/>
            </w:r>
            <w:r>
              <w:rPr>
                <w:rFonts w:ascii="Times New Roman"/>
                <w:b w:val="false"/>
                <w:i w:val="false"/>
                <w:color w:val="000000"/>
                <w:sz w:val="20"/>
              </w:rPr>
              <w:t>бойынша газ мониторингін</w:t>
            </w:r>
            <w:r>
              <w:br/>
            </w:r>
            <w:r>
              <w:rPr>
                <w:rFonts w:ascii="Times New Roman"/>
                <w:b w:val="false"/>
                <w:i w:val="false"/>
                <w:color w:val="000000"/>
                <w:sz w:val="20"/>
              </w:rPr>
              <w:t>жүргізу әдістемесіне</w:t>
            </w:r>
            <w:r>
              <w:br/>
            </w:r>
            <w:r>
              <w:rPr>
                <w:rFonts w:ascii="Times New Roman"/>
                <w:b w:val="false"/>
                <w:i w:val="false"/>
                <w:color w:val="000000"/>
                <w:sz w:val="20"/>
              </w:rPr>
              <w:t>5-қосымша</w:t>
            </w:r>
          </w:p>
        </w:tc>
      </w:tr>
    </w:tbl>
    <w:bookmarkStart w:name="z64" w:id="56"/>
    <w:p>
      <w:pPr>
        <w:spacing w:after="0"/>
        <w:ind w:left="0"/>
        <w:jc w:val="left"/>
      </w:pPr>
      <w:r>
        <w:rPr>
          <w:rFonts w:ascii="Times New Roman"/>
          <w:b/>
          <w:i w:val="false"/>
          <w:color w:val="000000"/>
        </w:rPr>
        <w:t xml:space="preserve"> Сынамаларды талдау әдістері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10235"/>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Әдістің атауы</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КФК-3-01 фотометрдегі фотометриялық әдіс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қос тотығы</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а-нафтиламинбен фотометриялық әдіс</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"Газохром 3101" аспабында газды хромотографиялық әдіс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тотығы</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Метиленды көктің пайда болу негізінде фотоколориметрлік әдіс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Гравиметрия</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 3101" аспабында газды хромотографиялық әдіс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