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d44ab" w14:textId="9bd44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"Қазақстан Республикасы Ұлттық қорының активтерін сыртқы басқарушыларды таңдау ережесін бекіту туралы" 2006 жылғы 25 шілдедегі № 66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2012 жылғы 25 мамырдағы № 181 Қаулысы. Қазақстан Республикасы Әділет министрлігінде 2012 жылы 19 шілдеде № 7803 тіркелді. Күші жойылды - Қазақстан Республикасы Ұлттық Банкі Басқармасының 2016 жылғы 30 мамырдағы № 126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30.05.2016 </w:t>
      </w:r>
      <w:r>
        <w:rPr>
          <w:rFonts w:ascii="Times New Roman"/>
          <w:b w:val="false"/>
          <w:i w:val="false"/>
          <w:color w:val="ff0000"/>
          <w:sz w:val="28"/>
        </w:rPr>
        <w:t>№ 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 w:id="0"/>
    <w:p>
      <w:pPr>
        <w:spacing w:after="0"/>
        <w:ind w:left="0"/>
        <w:jc w:val="both"/>
      </w:pPr>
      <w:r>
        <w:rPr>
          <w:rFonts w:ascii="Times New Roman"/>
          <w:b w:val="false"/>
          <w:i w:val="false"/>
          <w:color w:val="000000"/>
          <w:sz w:val="28"/>
        </w:rPr>
        <w:t>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және Қазақстан Республикасы Ұлттық қорының активтерін сыртқы басқарушыларды таңдау тәртібін жетілдіру мақсатында Қазақстан Республикасы Ұлттық Банкінің Басқармасы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Банкі Басқармасының «Қазақстан Республикасы Ұлттық қорының активтерін сыртқы басқарушыларды таңдау ережесін бекіту туралы» 2006 жылғы 25 шілдедегі № 66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4360 тіркелген)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Ұлттық қорының активтерін сыртқы басқарушыларды таңдау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15-1-тармақпен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«15-1. Егер Ұлттық Банктің алтынвалюта активтерін сыртқы басқаруды жүзеге асыратын сыртқы басқарушы осы Ереженің 19-1 және 19-2-тармақтарында белгіленген критерийлерді қанағаттандырса, онда Өкілетті өкілдің, Төрағаның немесе Төрағаның уәкілетті бөлімшеге жетекшілік ететін орынбасарының шешімі бойынша оның кандидатурасы Ұлттық Банк Басқармасының қарауына осы Ереженің 16, 17, 18 және 19-тармақтарында көзделген рәсімдер өткізілместен енгізіледі.»;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«35. Сыртқы басқарушы жұмысының тиімділігін бағалау рәсімі осы Ереженің 4-қосымшасына сәйкес келтірілген сыртқы басқарушы жұмысының тиімділігін бағалау көрсеткіштеріне сәйкес жүзеге асырылады және жүргізілген талдау нәтижелері бойынша Ұлттық Банк Басқармасы не Өкілетті өкіл осы сыртқы басқарушымен жұмысты жалғастыру туралы немесе оны тоқтату туралы тиісті шешім қабылдайды. Шешім сыртқы басқарушының нәтижелері негізінде 3 (үш) жыл басқару кезеңі үшін қабылданады.»;</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35-1-тармақпен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«35-1. Сыртқы басқарушының өткен кезең үшін алған кумулятивтік үстеме кірістілігі теріс болған жағдайда және оның абсолюттік мәні тиісті мандат бойынша кірістіліктің ауытқу өзгермелілігі (tracking error) көрсеткішінің белгіленген лимитінің абсолюттік мәнінен асып кетсе, Ұлттық Банк Басқармасының қарауына осы сыртқы басқарушымен сенімгерлік басқару туралы келісімді бұзу туралы мәселе шығарылады.»;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«36. Егер сыртқы басқаруға берілетін Қордың лимиті жұмыс істеп тұрған екі сыртқы басқарушының бірігуіне байланысты бұзылса, уәкілетті бөлімше Өкілетті өкілдің қарауына екі сыртқы басқарушының осы Ереженің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 сыртқы басқарушы жұмысының тиімділігін бағалау көрсеткіштеріне сәйкес төмен нәтиже көрсеткен біреуімен келісімді бұзу туралы мәселені енгізеді. Көрсетілген бұзушылық туындаған күнінен бастап 4 (төрт) айдың ішінде жойылады.»;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4-қосымша</w:t>
      </w:r>
      <w:r>
        <w:rPr>
          <w:rFonts w:ascii="Times New Roman"/>
          <w:b w:val="false"/>
          <w:i w:val="false"/>
          <w:color w:val="000000"/>
          <w:sz w:val="28"/>
        </w:rPr>
        <w:t xml:space="preserve"> осы қаулының қосымшасына сәйкес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Ұлттық Банк Төрағасы                          Г. Марченко</w:t>
      </w:r>
    </w:p>
    <w:p>
      <w:pPr>
        <w:spacing w:after="0"/>
        <w:ind w:left="0"/>
        <w:jc w:val="both"/>
      </w:pPr>
      <w:r>
        <w:rPr>
          <w:rFonts w:ascii="Times New Roman"/>
          <w:b w:val="false"/>
          <w:i w:val="false"/>
          <w:color w:val="000000"/>
          <w:sz w:val="28"/>
        </w:rPr>
        <w:t>«КЕЛІСІЛДІ»</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Қаржы министрі</w:t>
      </w:r>
      <w:r>
        <w:br/>
      </w:r>
      <w:r>
        <w:rPr>
          <w:rFonts w:ascii="Times New Roman"/>
          <w:b w:val="false"/>
          <w:i w:val="false"/>
          <w:color w:val="000000"/>
          <w:sz w:val="28"/>
        </w:rPr>
        <w:t>
_________ Б. Жәмішев</w:t>
      </w:r>
      <w:r>
        <w:br/>
      </w:r>
      <w:r>
        <w:rPr>
          <w:rFonts w:ascii="Times New Roman"/>
          <w:b w:val="false"/>
          <w:i w:val="false"/>
          <w:color w:val="000000"/>
          <w:sz w:val="28"/>
        </w:rPr>
        <w:t>
2012 жылғы 21 маусым</w:t>
      </w:r>
    </w:p>
    <w:bookmarkStart w:name="z10"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xml:space="preserve">
2012 жылғы 25 мамырдағы   </w:t>
      </w:r>
      <w:r>
        <w:br/>
      </w:r>
      <w:r>
        <w:rPr>
          <w:rFonts w:ascii="Times New Roman"/>
          <w:b w:val="false"/>
          <w:i w:val="false"/>
          <w:color w:val="000000"/>
          <w:sz w:val="28"/>
        </w:rPr>
        <w:t xml:space="preserve">
№ 181 қаулысына қосымша   </w:t>
      </w:r>
    </w:p>
    <w:bookmarkEnd w:id="1"/>
    <w:bookmarkStart w:name="z11"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қорының активтерін </w:t>
      </w:r>
      <w:r>
        <w:br/>
      </w:r>
      <w:r>
        <w:rPr>
          <w:rFonts w:ascii="Times New Roman"/>
          <w:b w:val="false"/>
          <w:i w:val="false"/>
          <w:color w:val="000000"/>
          <w:sz w:val="28"/>
        </w:rPr>
        <w:t xml:space="preserve">
сыртқы басқарушыларды     </w:t>
      </w:r>
      <w:r>
        <w:br/>
      </w:r>
      <w:r>
        <w:rPr>
          <w:rFonts w:ascii="Times New Roman"/>
          <w:b w:val="false"/>
          <w:i w:val="false"/>
          <w:color w:val="000000"/>
          <w:sz w:val="28"/>
        </w:rPr>
        <w:t>
таңдау ережесiне 4-қосымша</w:t>
      </w:r>
    </w:p>
    <w:bookmarkEnd w:id="2"/>
    <w:bookmarkStart w:name="z12" w:id="3"/>
    <w:p>
      <w:pPr>
        <w:spacing w:after="0"/>
        <w:ind w:left="0"/>
        <w:jc w:val="left"/>
      </w:pPr>
      <w:r>
        <w:rPr>
          <w:rFonts w:ascii="Times New Roman"/>
          <w:b/>
          <w:i w:val="false"/>
          <w:color w:val="000000"/>
        </w:rPr>
        <w:t xml:space="preserve"> 
Сыртқы басқарушы жұмысының тиімділігін бағалау көрсеткіштері</w:t>
      </w:r>
    </w:p>
    <w:bookmarkEnd w:id="3"/>
    <w:bookmarkStart w:name="z13" w:id="4"/>
    <w:p>
      <w:pPr>
        <w:spacing w:after="0"/>
        <w:ind w:left="0"/>
        <w:jc w:val="both"/>
      </w:pPr>
      <w:r>
        <w:rPr>
          <w:rFonts w:ascii="Times New Roman"/>
          <w:b w:val="false"/>
          <w:i w:val="false"/>
          <w:color w:val="000000"/>
          <w:sz w:val="28"/>
        </w:rPr>
        <w:t>
      Сыртқы басқарушының жұмысын бағалау кезінде субъективтілікті болдырмау үшін сыртқы басқарушыларды сандық және сапалық көрсеткіштерге сәйкес бағалау және балл қою негізгі мақсат болып табылады.</w:t>
      </w:r>
      <w:r>
        <w:br/>
      </w:r>
      <w:r>
        <w:rPr>
          <w:rFonts w:ascii="Times New Roman"/>
          <w:b w:val="false"/>
          <w:i w:val="false"/>
          <w:color w:val="000000"/>
          <w:sz w:val="28"/>
        </w:rPr>
        <w:t>
</w:t>
      </w:r>
      <w:r>
        <w:rPr>
          <w:rFonts w:ascii="Times New Roman"/>
          <w:b w:val="false"/>
          <w:i w:val="false"/>
          <w:color w:val="000000"/>
          <w:sz w:val="28"/>
        </w:rPr>
        <w:t>
      Сандық көрсеткіштер:</w:t>
      </w:r>
      <w:r>
        <w:br/>
      </w:r>
      <w:r>
        <w:rPr>
          <w:rFonts w:ascii="Times New Roman"/>
          <w:b w:val="false"/>
          <w:i w:val="false"/>
          <w:color w:val="000000"/>
          <w:sz w:val="28"/>
        </w:rPr>
        <w:t>
      Ақпараттық коэффициент (Information ration)</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3"/>
        <w:gridCol w:w="3933"/>
      </w:tblGrid>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Пайыздар</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коэффициент (Information ration)</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&gt;1</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балл</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 1</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балл</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 0,5</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балл</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 0</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 0,5</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&lt;(-)1</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tc>
      </w:tr>
    </w:tbl>
    <w:bookmarkStart w:name="z15" w:id="5"/>
    <w:p>
      <w:pPr>
        <w:spacing w:after="0"/>
        <w:ind w:left="0"/>
        <w:jc w:val="both"/>
      </w:pPr>
      <w:r>
        <w:rPr>
          <w:rFonts w:ascii="Times New Roman"/>
          <w:b w:val="false"/>
          <w:i w:val="false"/>
          <w:color w:val="000000"/>
          <w:sz w:val="28"/>
        </w:rPr>
        <w:t>
      Сапалық көрсеткіштер</w:t>
      </w:r>
      <w:r>
        <w:br/>
      </w:r>
      <w:r>
        <w:rPr>
          <w:rFonts w:ascii="Times New Roman"/>
          <w:b w:val="false"/>
          <w:i w:val="false"/>
          <w:color w:val="000000"/>
          <w:sz w:val="28"/>
        </w:rPr>
        <w:t>
</w:t>
      </w:r>
      <w:r>
        <w:rPr>
          <w:rFonts w:ascii="Times New Roman"/>
          <w:b w:val="false"/>
          <w:i w:val="false"/>
          <w:color w:val="000000"/>
          <w:sz w:val="28"/>
        </w:rPr>
        <w:t>
      1) Қызметкерлерді жылжыту (Staff turnover);</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3"/>
        <w:gridCol w:w="4093"/>
      </w:tblGrid>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Пайыздар</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 жылжыту (Staff turnover)</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&gt;30</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балл</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30</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балл</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 5</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балл</w:t>
            </w:r>
          </w:p>
        </w:tc>
      </w:tr>
    </w:tbl>
    <w:bookmarkStart w:name="z17" w:id="6"/>
    <w:p>
      <w:pPr>
        <w:spacing w:after="0"/>
        <w:ind w:left="0"/>
        <w:jc w:val="both"/>
      </w:pPr>
      <w:r>
        <w:rPr>
          <w:rFonts w:ascii="Times New Roman"/>
          <w:b w:val="false"/>
          <w:i w:val="false"/>
          <w:color w:val="000000"/>
          <w:sz w:val="28"/>
        </w:rPr>
        <w:t>
      2) Операциялық тәуекел (Operational risk).</w:t>
      </w:r>
      <w:r>
        <w:br/>
      </w:r>
      <w:r>
        <w:rPr>
          <w:rFonts w:ascii="Times New Roman"/>
          <w:b w:val="false"/>
          <w:i w:val="false"/>
          <w:color w:val="000000"/>
          <w:sz w:val="28"/>
        </w:rPr>
        <w:t>
      Операциялық қате салдарынан инвестициялық шектеулерді бұзудың әрбір фактісі үшін бағадан 0,2 балл алынады;</w:t>
      </w:r>
      <w:r>
        <w:br/>
      </w:r>
      <w:r>
        <w:rPr>
          <w:rFonts w:ascii="Times New Roman"/>
          <w:b w:val="false"/>
          <w:i w:val="false"/>
          <w:color w:val="000000"/>
          <w:sz w:val="28"/>
        </w:rPr>
        <w:t>
      Есептілікті көрсетілген мерзімде жүйелі түрде ұсынбаған жағдайда бағадан 0,2 балл алынады;</w:t>
      </w:r>
      <w:r>
        <w:br/>
      </w:r>
      <w:r>
        <w:rPr>
          <w:rFonts w:ascii="Times New Roman"/>
          <w:b w:val="false"/>
          <w:i w:val="false"/>
          <w:color w:val="000000"/>
          <w:sz w:val="28"/>
        </w:rPr>
        <w:t>
</w:t>
      </w:r>
      <w:r>
        <w:rPr>
          <w:rFonts w:ascii="Times New Roman"/>
          <w:b w:val="false"/>
          <w:i w:val="false"/>
          <w:color w:val="000000"/>
          <w:sz w:val="28"/>
        </w:rPr>
        <w:t>
      3) Іскерлік этиканы сақтау (compliance with a Code of Business Ethics).</w:t>
      </w:r>
      <w:r>
        <w:br/>
      </w:r>
      <w:r>
        <w:rPr>
          <w:rFonts w:ascii="Times New Roman"/>
          <w:b w:val="false"/>
          <w:i w:val="false"/>
          <w:color w:val="000000"/>
          <w:sz w:val="28"/>
        </w:rPr>
        <w:t>
      Сыртқы басқарушының іскерлік этиканы бұзуының әрбір фактісі үшін бағадан 0,5 балл алынады;</w:t>
      </w:r>
      <w:r>
        <w:br/>
      </w:r>
      <w:r>
        <w:rPr>
          <w:rFonts w:ascii="Times New Roman"/>
          <w:b w:val="false"/>
          <w:i w:val="false"/>
          <w:color w:val="000000"/>
          <w:sz w:val="28"/>
        </w:rPr>
        <w:t>
      Клиенттің тапсырмаларын жүйелі түрде уақтылы орындамаған жағдайда бағадан 0,5 балл алынады.</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