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8052" w14:textId="7188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 радиоарналарды тарату жөніндегі қызметпен айналысуға лицензия беру, лицензияны қайтадан рәсімдеу"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7 қарашадағы № 179 Бұйрығы. Қазақстан Республикасының Әділет министрлігінде 2012 жылы 12 желтоқсанда № 8180 тіркелді. Күші жойылды - Қазақстан Республикасы Инвестициялар және даму министрінің м.а. 2015 жылғы 28 мамырдағы № 655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28.05.2015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енгізілсін)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«Теле-, радиоарналарды тарату жөніндегі қызметпен айналысуға лицензия беру, лицензияны қайтадан рәсімдеу»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ақпарат министрлігі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министрлігінен мемлекеттік тіркеу және оны ресми жария етуді;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Д. Мыңбай</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 А. Жұмағалиев</w:t>
      </w:r>
      <w:r>
        <w:br/>
      </w:r>
      <w:r>
        <w:rPr>
          <w:rFonts w:ascii="Times New Roman"/>
          <w:b w:val="false"/>
          <w:i w:val="false"/>
          <w:color w:val="000000"/>
          <w:sz w:val="28"/>
        </w:rPr>
        <w:t>
</w:t>
      </w:r>
      <w:r>
        <w:rPr>
          <w:rFonts w:ascii="Times New Roman"/>
          <w:b w:val="false"/>
          <w:i/>
          <w:color w:val="000000"/>
          <w:sz w:val="28"/>
        </w:rPr>
        <w:t>      2012 жылғы «___» 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179 бұйрығымен бекітілді   </w:t>
      </w:r>
    </w:p>
    <w:bookmarkEnd w:id="1"/>
    <w:bookmarkStart w:name="z9" w:id="2"/>
    <w:p>
      <w:pPr>
        <w:spacing w:after="0"/>
        <w:ind w:left="0"/>
        <w:jc w:val="left"/>
      </w:pPr>
      <w:r>
        <w:rPr>
          <w:rFonts w:ascii="Times New Roman"/>
          <w:b/>
          <w:i w:val="false"/>
          <w:color w:val="000000"/>
        </w:rPr>
        <w:t xml:space="preserve"> 
«Теле-, радиоарналарын тарату жөніндегі қызметпен айналысу</w:t>
      </w:r>
      <w:r>
        <w:br/>
      </w:r>
      <w:r>
        <w:rPr>
          <w:rFonts w:ascii="Times New Roman"/>
          <w:b/>
          <w:i w:val="false"/>
          <w:color w:val="000000"/>
        </w:rPr>
        <w:t>
үшін лицензия беру, лицензияны қайта ресімдеу»</w:t>
      </w:r>
      <w:r>
        <w:br/>
      </w:r>
      <w:r>
        <w:rPr>
          <w:rFonts w:ascii="Times New Roman"/>
          <w:b/>
          <w:i w:val="false"/>
          <w:color w:val="000000"/>
        </w:rPr>
        <w:t>
электрондық мемлекеттік қызметтің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«Теле-, радиоарналарын тарату жөніндегі қызметпен айналысу үшін лицензия беру, лицензияны қайтадан рәсімдеу» электрондық мемлекеттік қызметі (бұдан әрі – электрондық мемлекеттік қызмет) Қазақстан Республикасы Мәдениет және ақпарат министрлігі Ақпарат және мұрағат комитетімен (бұдан әрі – қызмет көрсетуші), сонымен қатар «электрондық үкімет» веб-порталы: www.e.gov.kz немесе «Е-лицензиялау» веб-порталы: www.elicense.kz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8 қазандағы № 1263 қаулысымен бекітілген «Теле-, радиоарналарды тарату жөніндегі қызметпен айналысу үшін лицензия беру, лицензияны қайта рәсімдеу»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автоматизациялау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бірыңғай нотариалдық ақпараттық жүйе – бұл аппараттық программалар жинағы, нотариалдық қызметті автоматизациялауға және нотариаттық палата мен әділет органдарымен өзара әрекеттесуге арналған (бұдан әрі - БНАЖ);</w:t>
      </w:r>
      <w:r>
        <w:br/>
      </w:r>
      <w:r>
        <w:rPr>
          <w:rFonts w:ascii="Times New Roman"/>
          <w:b w:val="false"/>
          <w:i w:val="false"/>
          <w:color w:val="000000"/>
          <w:sz w:val="28"/>
        </w:rPr>
        <w:t>
</w:t>
      </w:r>
      <w:r>
        <w:rPr>
          <w:rFonts w:ascii="Times New Roman"/>
          <w:b w:val="false"/>
          <w:i w:val="false"/>
          <w:color w:val="000000"/>
          <w:sz w:val="28"/>
        </w:rPr>
        <w:t>
      5) «Е-лицензиялау» веб-порталы – берілген, қайта рәсімделген, тоқтатылған, жаңғыртылған және қолданылуы тоқтатылған лицензиялар, сондай-ақ, лицензиялаушы бөлімшелері, өкілдіктері (объект, пункт, учаске), лицензиялаушы беретін лицензияның сәйкестендіргіш нөмірін орталықтандырылған қалыптастыратын лицензияланатын қызмет түрі (саласы) туралы ақпаратты қамтитын ақпараттық жүйе (бұдан әрі – «Е-лицензиялау» АЖ МДҚ);</w:t>
      </w:r>
      <w:r>
        <w:br/>
      </w:r>
      <w:r>
        <w:rPr>
          <w:rFonts w:ascii="Times New Roman"/>
          <w:b w:val="false"/>
          <w:i w:val="false"/>
          <w:color w:val="000000"/>
          <w:sz w:val="28"/>
        </w:rPr>
        <w:t>
</w:t>
      </w:r>
      <w:r>
        <w:rPr>
          <w:rFonts w:ascii="Times New Roman"/>
          <w:b w:val="false"/>
          <w:i w:val="false"/>
          <w:color w:val="000000"/>
          <w:sz w:val="28"/>
        </w:rPr>
        <w:t>
      6) жеке сәйкестендірме нөмірі – жеке тұлға, оның ішінде өзінің қызметін жеке кәсіпкерлік түрінде жүзеге асыратын жеке кәсіпкер үшін қалыптастырылатын бірыңғай нөмір (бұдан әрі – ЖСН);</w:t>
      </w:r>
      <w:r>
        <w:br/>
      </w:r>
      <w:r>
        <w:rPr>
          <w:rFonts w:ascii="Times New Roman"/>
          <w:b w:val="false"/>
          <w:i w:val="false"/>
          <w:color w:val="000000"/>
          <w:sz w:val="28"/>
        </w:rPr>
        <w:t>
</w:t>
      </w:r>
      <w:r>
        <w:rPr>
          <w:rFonts w:ascii="Times New Roman"/>
          <w:b w:val="false"/>
          <w:i w:val="false"/>
          <w:color w:val="000000"/>
          <w:sz w:val="28"/>
        </w:rPr>
        <w:t>
      7) «жеке тұлғалар» мемлекеттік дерекқоры – ақпаратты автоматты түрде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8) «Заңды тұлғалар» мемлекеттік дерекқоры – автоматты жинауға, сақтауға және ақпарттарды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9) құрылымдық-функционалды бірлік – қызмет көрсету процесінде қатысатын бар мемлекеттік органның құрылымдық бөлімшелері, мекемелері немесе басқа да ұйымдар және ақпараттық жүйе тізімі (бұдан әрі – ҚФБ);</w:t>
      </w:r>
      <w:r>
        <w:br/>
      </w:r>
      <w:r>
        <w:rPr>
          <w:rFonts w:ascii="Times New Roman"/>
          <w:b w:val="false"/>
          <w:i w:val="false"/>
          <w:color w:val="000000"/>
          <w:sz w:val="28"/>
        </w:rPr>
        <w:t>
</w:t>
      </w:r>
      <w:r>
        <w:rPr>
          <w:rFonts w:ascii="Times New Roman"/>
          <w:b w:val="false"/>
          <w:i w:val="false"/>
          <w:color w:val="000000"/>
          <w:sz w:val="28"/>
        </w:rPr>
        <w:t>
      10) пайдаланушы – ақпараттық жүйеге оған қажетті электрондық ақпараттық қорды алу үшін жүгінген және сонымен қолданушы субъект;</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үкіметтің» төлем шлюзі – жеке және заңды тұлғалардың «электрондық үкімет» төлемдерін жүзеге асыру кезінде және жеке банктік операцияларды жүзеге асыратын мекемелер мен екінші дәрежелі банктердің ақпараттық жүйесі арасындағы әрекеттесуді қамтамасыз ету үшін арналған автоматты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15)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r>
        <w:br/>
      </w:r>
      <w:r>
        <w:rPr>
          <w:rFonts w:ascii="Times New Roman"/>
          <w:b w:val="false"/>
          <w:i w:val="false"/>
          <w:color w:val="000000"/>
          <w:sz w:val="28"/>
        </w:rPr>
        <w:t>
</w:t>
      </w:r>
      <w:r>
        <w:rPr>
          <w:rFonts w:ascii="Times New Roman"/>
          <w:b w:val="false"/>
          <w:i w:val="false"/>
          <w:color w:val="000000"/>
          <w:sz w:val="28"/>
        </w:rPr>
        <w:t>
      16)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 ақпараттық технологияларды қолдану арқылы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18) электронды лицензия – ақпараттық технологияларды пайдаланумен ресімделетін және берілетін, қағаз тасымалдағыштағы лицензияға тең мағыналы болатын электронды құжат нысанындағы лицензия.</w:t>
      </w:r>
    </w:p>
    <w:bookmarkEnd w:id="4"/>
    <w:bookmarkStart w:name="z34" w:id="5"/>
    <w:p>
      <w:pPr>
        <w:spacing w:after="0"/>
        <w:ind w:left="0"/>
        <w:jc w:val="left"/>
      </w:pPr>
      <w:r>
        <w:rPr>
          <w:rFonts w:ascii="Times New Roman"/>
          <w:b/>
          <w:i w:val="false"/>
          <w:color w:val="000000"/>
        </w:rPr>
        <w:t xml:space="preserve"> 
2. Электрондық мемлекетттік қызметті көрсету жөніндегі</w:t>
      </w:r>
      <w:r>
        <w:br/>
      </w:r>
      <w:r>
        <w:rPr>
          <w:rFonts w:ascii="Times New Roman"/>
          <w:b/>
          <w:i w:val="false"/>
          <w:color w:val="000000"/>
        </w:rPr>
        <w:t>
қызмет беруші әрекетінің тәртібі</w:t>
      </w:r>
    </w:p>
    <w:bookmarkEnd w:id="5"/>
    <w:bookmarkStart w:name="z35" w:id="6"/>
    <w:p>
      <w:pPr>
        <w:spacing w:after="0"/>
        <w:ind w:left="0"/>
        <w:jc w:val="both"/>
      </w:pPr>
      <w:r>
        <w:rPr>
          <w:rFonts w:ascii="Times New Roman"/>
          <w:b w:val="false"/>
          <w:i w:val="false"/>
          <w:color w:val="000000"/>
          <w:sz w:val="28"/>
        </w:rPr>
        <w:t>
      6. Қызмет көрсетушінің ЭҮП арқылы қадамдық әрекеттері мен шешімдері (ЭҮП арқылы электрондық мемлекеттік қызмет көрсету кезіндегі функционалдық өзара әрекет жасаудың № 1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пайдаланушы ЭҮП-ке тіркеуді компьютердің интернет-браузеріне бекітіп қойған өзінің ЭЦҚ тіркеу куәлігінің көмегімен жүзеге асырады (ЭҮП-ке тіркелмеген пайдаланушылар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пайдаланушының ЭЦҚ тіркеу куәлігін компьютердің интернет-браузеріне бекітуі, мемлекеттік қызметті алу үшін пайдаланушының ЭҮП-ке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пайдаланушы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2-үдеріс – пайдаланушының деректерінде бұзушылықтардың болуымен байланысты, ЭҮП авторландырудан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көрсетілген «Е-лицензиялау» АЖ МДҚ-да қызметті пайдаланушы таңдайды, қызмет көрсету үшін сұраныс формасы экранға шығарылады және пайдаланушы форманы оның құрылымдық және пішіндік талаптарына сай толтырады (мәлімет енгізеді), сұраныс формасына қажетті құжаттардың электронды түрде бекітеді;</w:t>
      </w:r>
      <w:r>
        <w:br/>
      </w:r>
      <w:r>
        <w:rPr>
          <w:rFonts w:ascii="Times New Roman"/>
          <w:b w:val="false"/>
          <w:i w:val="false"/>
          <w:color w:val="000000"/>
          <w:sz w:val="28"/>
        </w:rPr>
        <w:t>
</w:t>
      </w:r>
      <w:r>
        <w:rPr>
          <w:rFonts w:ascii="Times New Roman"/>
          <w:b w:val="false"/>
          <w:i w:val="false"/>
          <w:color w:val="000000"/>
          <w:sz w:val="28"/>
        </w:rPr>
        <w:t>
      6) 4-үдеріс – ЭҮТШ-де қызметті төлеу, кейін осы ақпарат «Е-лицензиялау» АЖ МДҚ-ға түседі;</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төленгенін «Е-лицензиялау» АЖ МДҚ-де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АЖ МДҚ-де қызмет көрсету үшін төлемнің болмауына байланысты сұраған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сұранысты дәлелдеу (қол қою) үшін пайдаланушы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
      10) 3-шарт – ЭҮП-да ЭЦҚ тіркеу куәлігінің жарамдылық мерзімін және тіркеу куәліктері кері қайтарылғандар (жойылғандар) тізімінде жоқтығын, сондай-ақ, сәйкестендіру ақпаратының сұраныста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11) 7-үдеріс – пайдаланушының ЭЦҚ түпнұсқалылығы расталмағанына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12) 8-үдеріс – пайдаланушының қызмет көрсетуге толтырылған (мәлімет енгізілген) сұранысын ЭЦҚ арқылы дәлелдеу (қол қою);</w:t>
      </w:r>
      <w:r>
        <w:br/>
      </w:r>
      <w:r>
        <w:rPr>
          <w:rFonts w:ascii="Times New Roman"/>
          <w:b w:val="false"/>
          <w:i w:val="false"/>
          <w:color w:val="000000"/>
          <w:sz w:val="28"/>
        </w:rPr>
        <w:t>
</w:t>
      </w:r>
      <w:r>
        <w:rPr>
          <w:rFonts w:ascii="Times New Roman"/>
          <w:b w:val="false"/>
          <w:i w:val="false"/>
          <w:color w:val="000000"/>
          <w:sz w:val="28"/>
        </w:rPr>
        <w:t>
      13) 9-үдеріс – электронды құжатты тіркеу (пайдаланушының сұранысын) және «Е-лицензиялау» АЖ МДҚ сұранысын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 пайдаланушыны біліктілік талаптарына және лицензия беру үшін негіздерге сәйкестігін тексереді;</w:t>
      </w:r>
      <w:r>
        <w:br/>
      </w:r>
      <w:r>
        <w:rPr>
          <w:rFonts w:ascii="Times New Roman"/>
          <w:b w:val="false"/>
          <w:i w:val="false"/>
          <w:color w:val="000000"/>
          <w:sz w:val="28"/>
        </w:rPr>
        <w:t>
</w:t>
      </w:r>
      <w:r>
        <w:rPr>
          <w:rFonts w:ascii="Times New Roman"/>
          <w:b w:val="false"/>
          <w:i w:val="false"/>
          <w:color w:val="000000"/>
          <w:sz w:val="28"/>
        </w:rPr>
        <w:t>
      15) 10-үдеріс - «Е-лицензиялау» АЖ МДҚ пайдаланушы мәліметтерінің бұрмаланғанына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16) 11-үдеріс – пайдаланушының «Е-лицензиялау» АЖ МДҚ-да ұйымдастырылған қызмет қорытындысын (электронды лицензия) алу. Электронды құжат қызмет көрсетушінің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 2-диаграмма электрондық мемлекеттік қызметті көрсету кезіндегі өзара іс-әрекет)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1-үдеріс – мемлекеттік қызмет көрсету үшін «Е-лицензиялау» АЖ МДҚ қызмет көрсетушінің қызметкерлерімен логин және паролін теру (авторизация үрдісі);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«Е-лицензиялау» АЖ МДҚ тіркелген қызмет көрсетуші қызметкері туралы мәліметтерінің дәлелдігін тексеру;</w:t>
      </w:r>
      <w:r>
        <w:br/>
      </w:r>
      <w:r>
        <w:rPr>
          <w:rFonts w:ascii="Times New Roman"/>
          <w:b w:val="false"/>
          <w:i w:val="false"/>
          <w:color w:val="000000"/>
          <w:sz w:val="28"/>
        </w:rPr>
        <w:t>
</w:t>
      </w:r>
      <w:r>
        <w:rPr>
          <w:rFonts w:ascii="Times New Roman"/>
          <w:b w:val="false"/>
          <w:i w:val="false"/>
          <w:color w:val="000000"/>
          <w:sz w:val="28"/>
        </w:rPr>
        <w:t>
      3) 2-үдеріс – қызмет көрсетуші қызметкерінің мәліметтері бұрмаланғанына байланысты «Е-лицензиялау» АЖ МДҚ-мен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көрсетуші қызметкерімен осы регламентте көрсетілген қызметті таңдауы, қызмет көрсету үшін сұраныс формасын экранға шығару және қызмет көрсетуші қызметкерімен пайдаланушының мәліметтерін енгізу, сонымен қатар пайдаланушы өкілінің сенімхат деректері (нотариалды куәландырылған сенімхатпен, басқа да куәландырылған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5) 4-үдеріс – ЖТ МДҚ, ЗТ МДҚ-ға пайдаланушы мәліметтері туралы сұранысты ЭҮШ арқылы жолдау, сонымен қатар БНАЖ-ға – пайдаланушы өкілінің сенімхат деректері туралы;</w:t>
      </w:r>
      <w:r>
        <w:br/>
      </w:r>
      <w:r>
        <w:rPr>
          <w:rFonts w:ascii="Times New Roman"/>
          <w:b w:val="false"/>
          <w:i w:val="false"/>
          <w:color w:val="000000"/>
          <w:sz w:val="28"/>
        </w:rPr>
        <w:t>
</w:t>
      </w:r>
      <w:r>
        <w:rPr>
          <w:rFonts w:ascii="Times New Roman"/>
          <w:b w:val="false"/>
          <w:i w:val="false"/>
          <w:color w:val="000000"/>
          <w:sz w:val="28"/>
        </w:rPr>
        <w:t>
      6) 2-шарт – пайдаланушы мәліметтерінің ЖТ МДҚ, ЗТ МДҚ-да болуын тексеру, БНАЖ-дағы сенімхат деректері;</w:t>
      </w:r>
      <w:r>
        <w:br/>
      </w:r>
      <w:r>
        <w:rPr>
          <w:rFonts w:ascii="Times New Roman"/>
          <w:b w:val="false"/>
          <w:i w:val="false"/>
          <w:color w:val="000000"/>
          <w:sz w:val="28"/>
        </w:rPr>
        <w:t>
</w:t>
      </w:r>
      <w:r>
        <w:rPr>
          <w:rFonts w:ascii="Times New Roman"/>
          <w:b w:val="false"/>
          <w:i w:val="false"/>
          <w:color w:val="000000"/>
          <w:sz w:val="28"/>
        </w:rPr>
        <w:t>
      7) 5-үдеріс - ЖТ МДҚ, ЗТ МДҚ пайдаланушылардың мәліметтері жоқ болғанына байланысты ақпарат алу мүмкін еместігі туралы хабарландыру қалыптастыру, БНАЖ-дағы сенімхат деректері;</w:t>
      </w:r>
      <w:r>
        <w:br/>
      </w:r>
      <w:r>
        <w:rPr>
          <w:rFonts w:ascii="Times New Roman"/>
          <w:b w:val="false"/>
          <w:i w:val="false"/>
          <w:color w:val="000000"/>
          <w:sz w:val="28"/>
        </w:rPr>
        <w:t>
</w:t>
      </w:r>
      <w:r>
        <w:rPr>
          <w:rFonts w:ascii="Times New Roman"/>
          <w:b w:val="false"/>
          <w:i w:val="false"/>
          <w:color w:val="000000"/>
          <w:sz w:val="28"/>
        </w:rPr>
        <w:t>
      8) 6-үдеріс – сұраныс формасының қағаз нұсқасы бар болғаны туралы бөлігін толтырып, пайдаланушымен ұсынылған және қажетті құжаттарды қызмет көрсетуші қызметкерімен сканерлеп, оларды сұраныс формасына қыстыру;</w:t>
      </w:r>
      <w:r>
        <w:br/>
      </w:r>
      <w:r>
        <w:rPr>
          <w:rFonts w:ascii="Times New Roman"/>
          <w:b w:val="false"/>
          <w:i w:val="false"/>
          <w:color w:val="000000"/>
          <w:sz w:val="28"/>
        </w:rPr>
        <w:t>
</w:t>
      </w:r>
      <w:r>
        <w:rPr>
          <w:rFonts w:ascii="Times New Roman"/>
          <w:b w:val="false"/>
          <w:i w:val="false"/>
          <w:color w:val="000000"/>
          <w:sz w:val="28"/>
        </w:rPr>
        <w:t>
      9) 7-үдеріс - «Е-лицензиялау» АЖ МДҚ сұранысты тіркеу және қызметті «Е-лицензиялау» АЖ МДҚ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 біліктілік талаптарына және лицензия беру негіздеріне пайдаланушының сәйкестігін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АЖ МДҚ-де пайдаланушы мәліметтерінде бұрмалаушылықтардың болуына байланысты сұралған қызметтен бас тару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пайдаланушы «Е-лицензиялау» АЖ МДҚ-мен қалыптасқан қызмет қорытындысын (электрондық лицензия) алуы.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Сұранысты толтыру нысаны және қызметке жауап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Пайдаланушымен электрондық қызмет көрсету бойынша сұраныстың орындалу мәртебесін тексеру әдісі: «электронды үкімет» порталында «қызмет алу тарихы» бөлімінде, сондай-ақ қызмет көрсетушіге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ақпаратты және кеңесті ЭҮП-тың сall–орталығы (1414) арқылы алуға болады.</w:t>
      </w:r>
    </w:p>
    <w:bookmarkEnd w:id="6"/>
    <w:bookmarkStart w:name="z68"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7"/>
    <w:bookmarkStart w:name="z69" w:id="8"/>
    <w:p>
      <w:pPr>
        <w:spacing w:after="0"/>
        <w:ind w:left="0"/>
        <w:jc w:val="both"/>
      </w:pPr>
      <w:r>
        <w:rPr>
          <w:rFonts w:ascii="Times New Roman"/>
          <w:b w:val="false"/>
          <w:i w:val="false"/>
          <w:color w:val="000000"/>
          <w:sz w:val="28"/>
        </w:rPr>
        <w:t>
      11. электрондық мемлекеттік қызмет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АЖ МДҚ «Е-лицензиялау»;</w:t>
      </w:r>
      <w:r>
        <w:br/>
      </w:r>
      <w:r>
        <w:rPr>
          <w:rFonts w:ascii="Times New Roman"/>
          <w:b w:val="false"/>
          <w:i w:val="false"/>
          <w:color w:val="000000"/>
          <w:sz w:val="28"/>
        </w:rPr>
        <w:t>
</w:t>
      </w:r>
      <w:r>
        <w:rPr>
          <w:rFonts w:ascii="Times New Roman"/>
          <w:b w:val="false"/>
          <w:i w:val="false"/>
          <w:color w:val="000000"/>
          <w:sz w:val="28"/>
        </w:rPr>
        <w:t>
      5) МДҚ ЖТ/МДҚ ЗТ;</w:t>
      </w:r>
      <w:r>
        <w:br/>
      </w:r>
      <w:r>
        <w:rPr>
          <w:rFonts w:ascii="Times New Roman"/>
          <w:b w:val="false"/>
          <w:i w:val="false"/>
          <w:color w:val="000000"/>
          <w:sz w:val="28"/>
        </w:rPr>
        <w:t>
</w:t>
      </w:r>
      <w:r>
        <w:rPr>
          <w:rFonts w:ascii="Times New Roman"/>
          <w:b w:val="false"/>
          <w:i w:val="false"/>
          <w:color w:val="000000"/>
          <w:sz w:val="28"/>
        </w:rPr>
        <w:t>
      6) БНАЖ;</w:t>
      </w:r>
      <w:r>
        <w:br/>
      </w:r>
      <w:r>
        <w:rPr>
          <w:rFonts w:ascii="Times New Roman"/>
          <w:b w:val="false"/>
          <w:i w:val="false"/>
          <w:color w:val="000000"/>
          <w:sz w:val="28"/>
        </w:rPr>
        <w:t>
</w:t>
      </w:r>
      <w:r>
        <w:rPr>
          <w:rFonts w:ascii="Times New Roman"/>
          <w:b w:val="false"/>
          <w:i w:val="false"/>
          <w:color w:val="000000"/>
          <w:sz w:val="28"/>
        </w:rPr>
        <w:t>
      7) қызмет көрсетуші.</w:t>
      </w:r>
      <w:r>
        <w:br/>
      </w:r>
      <w:r>
        <w:rPr>
          <w:rFonts w:ascii="Times New Roman"/>
          <w:b w:val="false"/>
          <w:i w:val="false"/>
          <w:color w:val="000000"/>
          <w:sz w:val="28"/>
        </w:rPr>
        <w:t>
</w:t>
      </w:r>
      <w:r>
        <w:rPr>
          <w:rFonts w:ascii="Times New Roman"/>
          <w:b w:val="false"/>
          <w:i w:val="false"/>
          <w:color w:val="000000"/>
          <w:sz w:val="28"/>
        </w:rPr>
        <w:t>
      12. Әр іс-қимылдың орындалу (процедура, функция, операция) әрекетінің жүйелілігі мен мерзімі көрсетілген мәтіндік кестелі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Іс-әрекеттің (электрондық мемлекеттік қызметті көрсету үрдісінде) логикалық жүйелілігі мен оның сипаттамасы арасындағы сәйкестікті көрсететін өзара байланыс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Пайдаланушыға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15. Пайдаланушыға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16. Қызмет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тұлғаның ЖСН/БСН-нің болуы;</w:t>
      </w:r>
      <w:r>
        <w:br/>
      </w:r>
      <w:r>
        <w:rPr>
          <w:rFonts w:ascii="Times New Roman"/>
          <w:b w:val="false"/>
          <w:i w:val="false"/>
          <w:color w:val="000000"/>
          <w:sz w:val="28"/>
        </w:rPr>
        <w:t>
</w:t>
      </w:r>
      <w:r>
        <w:rPr>
          <w:rFonts w:ascii="Times New Roman"/>
          <w:b w:val="false"/>
          <w:i w:val="false"/>
          <w:color w:val="000000"/>
          <w:sz w:val="28"/>
        </w:rPr>
        <w:t>
      3) ЭҮП-те авторизациялану;</w:t>
      </w:r>
      <w:r>
        <w:br/>
      </w:r>
      <w:r>
        <w:rPr>
          <w:rFonts w:ascii="Times New Roman"/>
          <w:b w:val="false"/>
          <w:i w:val="false"/>
          <w:color w:val="000000"/>
          <w:sz w:val="28"/>
        </w:rPr>
        <w:t>
</w:t>
      </w:r>
      <w:r>
        <w:rPr>
          <w:rFonts w:ascii="Times New Roman"/>
          <w:b w:val="false"/>
          <w:i w:val="false"/>
          <w:color w:val="000000"/>
          <w:sz w:val="28"/>
        </w:rPr>
        <w:t>
      4) ЭЦҚ-ның пайдаланушысының болуы;</w:t>
      </w:r>
      <w:r>
        <w:br/>
      </w:r>
      <w:r>
        <w:rPr>
          <w:rFonts w:ascii="Times New Roman"/>
          <w:b w:val="false"/>
          <w:i w:val="false"/>
          <w:color w:val="000000"/>
          <w:sz w:val="28"/>
        </w:rPr>
        <w:t>
</w:t>
      </w:r>
      <w:r>
        <w:rPr>
          <w:rFonts w:ascii="Times New Roman"/>
          <w:b w:val="false"/>
          <w:i w:val="false"/>
          <w:color w:val="000000"/>
          <w:sz w:val="28"/>
        </w:rPr>
        <w:t>
      5) банк карточкасын немесе екінші деңгейдегі банкте ағымдағы шоттың болуы.</w:t>
      </w:r>
    </w:p>
    <w:bookmarkEnd w:id="8"/>
    <w:bookmarkStart w:name="z90" w:id="9"/>
    <w:p>
      <w:pPr>
        <w:spacing w:after="0"/>
        <w:ind w:left="0"/>
        <w:jc w:val="both"/>
      </w:pPr>
      <w:r>
        <w:rPr>
          <w:rFonts w:ascii="Times New Roman"/>
          <w:b w:val="false"/>
          <w:i w:val="false"/>
          <w:color w:val="000000"/>
          <w:sz w:val="28"/>
        </w:rPr>
        <w:t>
«Теле-, радиоарналарды тарату жөніндегі</w:t>
      </w:r>
      <w:r>
        <w:br/>
      </w:r>
      <w:r>
        <w:rPr>
          <w:rFonts w:ascii="Times New Roman"/>
          <w:b w:val="false"/>
          <w:i w:val="false"/>
          <w:color w:val="000000"/>
          <w:sz w:val="28"/>
        </w:rPr>
        <w:t xml:space="preserve">
қызметпен, айналысуға лицензия беру, </w:t>
      </w:r>
      <w:r>
        <w:br/>
      </w:r>
      <w:r>
        <w:rPr>
          <w:rFonts w:ascii="Times New Roman"/>
          <w:b w:val="false"/>
          <w:i w:val="false"/>
          <w:color w:val="000000"/>
          <w:sz w:val="28"/>
        </w:rPr>
        <w:t>
лицензияны қайтадан рәсімдеу»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91" w:id="10"/>
    <w:p>
      <w:pPr>
        <w:spacing w:after="0"/>
        <w:ind w:left="0"/>
        <w:jc w:val="left"/>
      </w:pPr>
      <w:r>
        <w:rPr>
          <w:rFonts w:ascii="Times New Roman"/>
          <w:b/>
          <w:i w:val="false"/>
          <w:color w:val="000000"/>
        </w:rPr>
        <w:t xml:space="preserve"> 
ЭҮП арқылы мемлекеттік қызмет көрсету кезінде өзара</w:t>
      </w:r>
      <w:r>
        <w:br/>
      </w:r>
      <w:r>
        <w:rPr>
          <w:rFonts w:ascii="Times New Roman"/>
          <w:b/>
          <w:i w:val="false"/>
          <w:color w:val="000000"/>
        </w:rPr>
        <w:t>
функционалды әрекет етудің № 1-диаграммасы</w:t>
      </w:r>
    </w:p>
    <w:bookmarkEnd w:id="10"/>
    <w:p>
      <w:pPr>
        <w:spacing w:after="0"/>
        <w:ind w:left="0"/>
        <w:jc w:val="both"/>
      </w:pPr>
      <w:r>
        <w:drawing>
          <wp:inline distT="0" distB="0" distL="0" distR="0">
            <wp:extent cx="8851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4851400"/>
                    </a:xfrm>
                    <a:prstGeom prst="rect">
                      <a:avLst/>
                    </a:prstGeom>
                  </pic:spPr>
                </pic:pic>
              </a:graphicData>
            </a:graphic>
          </wp:inline>
        </w:drawing>
      </w:r>
    </w:p>
    <w:bookmarkStart w:name="z92" w:id="11"/>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
өзара функционалды әрекет етудің № 2-диаграммасы</w:t>
      </w:r>
    </w:p>
    <w:bookmarkEnd w:id="11"/>
    <w:p>
      <w:pPr>
        <w:spacing w:after="0"/>
        <w:ind w:left="0"/>
        <w:jc w:val="both"/>
      </w:pPr>
      <w:r>
        <w:drawing>
          <wp:inline distT="0" distB="0" distL="0" distR="0">
            <wp:extent cx="8826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26500" cy="4965700"/>
                    </a:xfrm>
                    <a:prstGeom prst="rect">
                      <a:avLst/>
                    </a:prstGeom>
                  </pic:spPr>
                </pic:pic>
              </a:graphicData>
            </a:graphic>
          </wp:inline>
        </w:drawing>
      </w:r>
    </w:p>
    <w:bookmarkStart w:name="z93" w:id="12"/>
    <w:p>
      <w:pPr>
        <w:spacing w:after="0"/>
        <w:ind w:left="0"/>
        <w:jc w:val="both"/>
      </w:pPr>
      <w:r>
        <w:rPr>
          <w:rFonts w:ascii="Times New Roman"/>
          <w:b w:val="false"/>
          <w:i w:val="false"/>
          <w:color w:val="000000"/>
          <w:sz w:val="28"/>
        </w:rPr>
        <w:t>
Шартты белгілер:</w:t>
      </w:r>
    </w:p>
    <w:bookmarkEnd w:id="12"/>
    <w:p>
      <w:pPr>
        <w:spacing w:after="0"/>
        <w:ind w:left="0"/>
        <w:jc w:val="both"/>
      </w:pPr>
      <w:r>
        <w:drawing>
          <wp:inline distT="0" distB="0" distL="0" distR="0">
            <wp:extent cx="4381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81500" cy="4826000"/>
                    </a:xfrm>
                    <a:prstGeom prst="rect">
                      <a:avLst/>
                    </a:prstGeom>
                  </pic:spPr>
                </pic:pic>
              </a:graphicData>
            </a:graphic>
          </wp:inline>
        </w:drawing>
      </w:r>
    </w:p>
    <w:bookmarkStart w:name="z94" w:id="13"/>
    <w:p>
      <w:pPr>
        <w:spacing w:after="0"/>
        <w:ind w:left="0"/>
        <w:jc w:val="both"/>
      </w:pPr>
      <w:r>
        <w:rPr>
          <w:rFonts w:ascii="Times New Roman"/>
          <w:b w:val="false"/>
          <w:i w:val="false"/>
          <w:color w:val="000000"/>
          <w:sz w:val="28"/>
        </w:rPr>
        <w:t>
«Теле-, радиоарналарды тарату жөніндегі</w:t>
      </w:r>
      <w:r>
        <w:br/>
      </w:r>
      <w:r>
        <w:rPr>
          <w:rFonts w:ascii="Times New Roman"/>
          <w:b w:val="false"/>
          <w:i w:val="false"/>
          <w:color w:val="000000"/>
          <w:sz w:val="28"/>
        </w:rPr>
        <w:t xml:space="preserve">
қызметпен, айналысуға лицензия беру, </w:t>
      </w:r>
      <w:r>
        <w:br/>
      </w:r>
      <w:r>
        <w:rPr>
          <w:rFonts w:ascii="Times New Roman"/>
          <w:b w:val="false"/>
          <w:i w:val="false"/>
          <w:color w:val="000000"/>
          <w:sz w:val="28"/>
        </w:rPr>
        <w:t>
лицензияны қайтадан рәсімдеу»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95" w:id="14"/>
    <w:p>
      <w:pPr>
        <w:spacing w:after="0"/>
        <w:ind w:left="0"/>
        <w:jc w:val="left"/>
      </w:pPr>
      <w:r>
        <w:rPr>
          <w:rFonts w:ascii="Times New Roman"/>
          <w:b/>
          <w:i w:val="false"/>
          <w:color w:val="000000"/>
        </w:rPr>
        <w:t xml:space="preserve"> 
1-Кесте. ЭҮП арқылы ҚФБ іс-әрекетінің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1247"/>
        <w:gridCol w:w="1247"/>
        <w:gridCol w:w="1402"/>
        <w:gridCol w:w="1402"/>
        <w:gridCol w:w="935"/>
        <w:gridCol w:w="1090"/>
        <w:gridCol w:w="935"/>
        <w:gridCol w:w="1402"/>
        <w:gridCol w:w="935"/>
        <w:gridCol w:w="1248"/>
        <w:gridCol w:w="1248"/>
        <w:gridCol w:w="1248"/>
      </w:tblGrid>
      <w:tr>
        <w:trPr>
          <w:trHeight w:val="46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 жұмыс барысы, ағыны)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54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процедуралар) және олардың сипаттамасы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тіркеу куәлігін компьютердің интернет-браузеріне бекіту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 мен байланысты бас тарту хабарламасын қалыптастырады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бекітумен, сауал деректерін қалыптастырады;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қалыптастырады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растау (қол қою) үшін ЭЦҚ таңдайды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түпнұсқалығын расталмағанына байланысты сұраған қызметтен бас тарту туралы хабарландыруды қалыптастыру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сұранысты растау (қол қою)</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АЖ тіркеу (пайдаланушының сұранысын) және «Е-лицензиялау» АЖ сұранысты өңдеу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пайдаланушы мәліметтерінің бұрмаланғанына байланысты сұраған қызметтен бас тарту туралы хабарландыруды қалыптастыру;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17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(деректер, құжат ұйымдастыру реттеу шешімі)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тіркеу куәлігін компьютердің интернет-браузеріне бекітіледі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бұзушылықтармен байланысты бас тарту хабарламасы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таңдалған және қажетті құжаттарды электронды түрде бекітумен, сауал деректері қалыптастырылған;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 ақысы жасалғандығы туралы квитанция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тексеріліп және төлемнің жоқ болуына байланысты бас тарту туралы хабарлама қалыптастырылған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растау (қол қою) үшін ЭЦҚ таңдалған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түпнұсқалығын расталмағанына байланысты сұраған қызметтен бас тарту туралы хабарландыру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сұранысты растау (қол қою) өткізілген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АЖ тіркеу (пайдаланушының сұранысын) және «Е-лицензиялау» АЖ сұранысты өңдеу өткізілген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пайдаланушы мәліметтерінің бұрмаланғанына байланысты сұраған қызметтен бас тарту туралы хабарландыру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Пайдаланушыға берілген және жіберілген электрондық құжат (электрондық лицензия)</w:t>
            </w:r>
          </w:p>
        </w:tc>
      </w:tr>
      <w:tr>
        <w:trPr>
          <w:trHeight w:val="30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186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2-пайдаланушы мәліметінде бұрмалаушылық болған жағдайда; 3–егер авторизация сәтті өткен жағдайда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 6–егер төлесе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ЭЦҚ қателік болса, 9–егер ЭЦҚ қателік болмаса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10-пайдаланушы ны қызмет көрсетуші тарапынан біліктілік талаптарына және лицензия беру негіздеріне сәйкестігін тексеру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6" w:id="15"/>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110"/>
        <w:gridCol w:w="1110"/>
        <w:gridCol w:w="1388"/>
        <w:gridCol w:w="1388"/>
        <w:gridCol w:w="1388"/>
        <w:gridCol w:w="1388"/>
        <w:gridCol w:w="1388"/>
        <w:gridCol w:w="1388"/>
        <w:gridCol w:w="1389"/>
        <w:gridCol w:w="1389"/>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 жұмыс барысы, ағыны)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 ЖТ МДҚ, БНАЖ</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процедуралар) және олардың сипаттамасы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авторизациялану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 мен байланысты авторизациядан бас тарту хабарламасын қалыптастырады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қызметті таңдау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МДҚ-да, ЖТ МДҚ-да, БНАЖ-да пайдаланушының мәліметтерін тексеруге сұранысты жолдау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 мен байланысты ЗТ МДҚ-да, ЖТ МДҚ-да, БНАЖ-да бас тарту хабарламасын қалыптастыру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сұраныс формасын толтыру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АЖ МДҚ-да тіркеу және «Е-лицензиялау» АЖ МДҚ–да сұранысты өңдеу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пайдаланушының деректеріндегі бұзушылықтар мен байланысты сұраған қызметтен бас тарту туралы хабарламаны қалыптастыру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(деректер, құжат ұйымдастыру реттеу шешімі)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 өткізілген немесе өткізілмеген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 мен байланысты авторизациядан бас тарту хабарламасы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сәйкесінше қызмет таңдалған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мәліметтерін тексеруге ЗТ МДҚ-ға, ЖТ МДҚ-ға, сұраныс жолданған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бұзушылықтар мен байланысты ЗТ МДҚ-да, ЖТ МДҚ-да, БНАЖ-да бас тарту хабарламасы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сұраныс формасы толтырылған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АЖ МДҚ-да тіркелген және «Е-лицензиялау» АЖ МДҚ–да сұраныс өңделген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пайдаланушының деректеріндегі бұзушылықтар мен байланысты сұраған қызметтен бас тарту туралы хабарлама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4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 көрсетуші қызметкерінің «Е-лицензиялау» АЖ МДҚ логин және парольі мәліметінің дұрыстығын тексеру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пайдаланушының деректерінде бұзушылықтар болған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авторизация сәтті өткен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АЖ МДҚ-да сұраныс бойынша мәлімет болмаған жағдайда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9–егер сұраныс бойынша мәлімет табылған жағдайда пайдаланушының электрондық қызмет нәтижесін алу</w:t>
            </w:r>
          </w:p>
        </w:tc>
      </w:tr>
    </w:tbl>
    <w:bookmarkStart w:name="z97" w:id="16"/>
    <w:p>
      <w:pPr>
        <w:spacing w:after="0"/>
        <w:ind w:left="0"/>
        <w:jc w:val="both"/>
      </w:pPr>
      <w:r>
        <w:rPr>
          <w:rFonts w:ascii="Times New Roman"/>
          <w:b w:val="false"/>
          <w:i w:val="false"/>
          <w:color w:val="000000"/>
          <w:sz w:val="28"/>
        </w:rPr>
        <w:t>
«Теле-, радиоарналарды тарату жөніндегі</w:t>
      </w:r>
      <w:r>
        <w:br/>
      </w:r>
      <w:r>
        <w:rPr>
          <w:rFonts w:ascii="Times New Roman"/>
          <w:b w:val="false"/>
          <w:i w:val="false"/>
          <w:color w:val="000000"/>
          <w:sz w:val="28"/>
        </w:rPr>
        <w:t xml:space="preserve">
қызметпен, айналысуға лицензия беру, </w:t>
      </w:r>
      <w:r>
        <w:br/>
      </w:r>
      <w:r>
        <w:rPr>
          <w:rFonts w:ascii="Times New Roman"/>
          <w:b w:val="false"/>
          <w:i w:val="false"/>
          <w:color w:val="000000"/>
          <w:sz w:val="28"/>
        </w:rPr>
        <w:t>
лицензияны қайтадан рәсімдеу»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Нысан</w:t>
      </w:r>
    </w:p>
    <w:bookmarkStart w:name="z98" w:id="17"/>
    <w:p>
      <w:pPr>
        <w:spacing w:after="0"/>
        <w:ind w:left="0"/>
        <w:jc w:val="left"/>
      </w:pPr>
      <w:r>
        <w:rPr>
          <w:rFonts w:ascii="Times New Roman"/>
          <w:b/>
          <w:i w:val="false"/>
          <w:color w:val="000000"/>
        </w:rPr>
        <w:t xml:space="preserve"> 
Сапа және қол жетімділік көрсеткіштері</w:t>
      </w:r>
      <w:r>
        <w:br/>
      </w:r>
      <w:r>
        <w:rPr>
          <w:rFonts w:ascii="Times New Roman"/>
          <w:b/>
          <w:i w:val="false"/>
          <w:color w:val="000000"/>
        </w:rPr>
        <w:t>
Электрондық мемлекеттік қызметтің көрсеткіштерін анықтау үшін</w:t>
      </w:r>
      <w:r>
        <w:br/>
      </w:r>
      <w:r>
        <w:rPr>
          <w:rFonts w:ascii="Times New Roman"/>
          <w:b/>
          <w:i w:val="false"/>
          <w:color w:val="000000"/>
        </w:rPr>
        <w:t>
сауалнама: «сапа» және «қол жетімділік»</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17"/>
    <w:bookmarkStart w:name="z99" w:id="18"/>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