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7acc" w14:textId="5327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қызметшілерді қайта даярлау және біліктілігін арттырудың білім беру бағдарламаларын келісу"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агенттігі Төрағасының 2012 жылғы 27 желтоқсандағы № 02-01-02/184 Бұйрығы. Қазақстан Республикасының Әділет министрлігінде 2012 жылы 28 желтоқсанда № 8247 тіркелді. Күші жойылды - Қазақстан Республикасы Мемлекеттік қызмет істері агенттігі төрағасының 2014 жылғы 29 наурыздағы № 04-2-4/56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Мемлекеттік қызмет істері агенттігі төрағасының 29.03.2014 </w:t>
      </w:r>
      <w:r>
        <w:rPr>
          <w:rFonts w:ascii="Times New Roman"/>
          <w:b w:val="false"/>
          <w:i w:val="false"/>
          <w:color w:val="ff0000"/>
          <w:sz w:val="28"/>
        </w:rPr>
        <w:t>№ 04-2-4/56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«Мемлекеттік қызметшілерді қайта даярлау және біліктілігін арттырудың білім беру бағдарламаларын келісу»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агенттігінің Мемлекеттік қызметті өткеру бөлімі (М.Ы. Өтешев):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өткеннен кейін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Мемлекеттік қызметті өткеру бөлімінің меңгерушісі М.Ы. Өтешевке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Төраға                                          А. Байменов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агенттігі Төрағаның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02-01-02/184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«Мемлекеттік қызметшілерді қайта даярлау және біліктілігін</w:t>
      </w:r>
      <w:r>
        <w:br/>
      </w:r>
      <w:r>
        <w:rPr>
          <w:rFonts w:ascii="Times New Roman"/>
          <w:b/>
          <w:i w:val="false"/>
          <w:color w:val="000000"/>
        </w:rPr>
        <w:t xml:space="preserve">
арттырудың білім беру бағдарламаларын келісу» 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қызметінің регламенті</w:t>
      </w:r>
    </w:p>
    <w:bookmarkEnd w:id="2"/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«Мемлекеттік қызметшілерді қайта даярлау және біліктілігін арттырудың білім беру бағдарламаларын келісу» мемлекеттік қызметінің осы регламенті Қазақстан Республикасы Үкіметінің 2012 жылғы 27 желтоқсандағы № 1687 «Қазақстан Республикасы Мемлекеттік қызмет істері агенттігінің мемлекеттік қызмет көрсету стандарттарын бекіту туралы» қаулысымен бекітілген «Мемлекеттік қызметшілерді қайта даярлау және біліктілігін арттырудың білім беру бағдарламаларын келісу»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Регламентте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– Қазақстан Республикасы мемлекеттік қызмет істері агенттігімен (бұдан әрі – Агенттік) көрсетілетін, мемлекеттік қызметшілерді қайта даярлау және біліктілігін арттырудың білім беру бағдарламаларын келісу бойынша мемлекеттік қызмет;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 – мемлекеттік қызметшілерді қайта даярлау және біліктілігін арттыру саласында білім беру құқығын растайтын құжаты бар білім беру ұйымдары.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көрсетуші орган атауы – Қазақстан Республикасы Мемлекеттік қызмет істері агенттігі (Астана қаласы, Абай даңғылы, 33а).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Қазақстан Республикасы Президентінің 1999 жылғы 3 желтоқсандағы № 280 Жарлығымен бекітілген Қазақстан Республикасының Мемлекеттік қызмет істері агенттігі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2004 жылғы 11 қазандағы № 1457 Жарлығымен бекітілген Қазақстан Республикасының мемлекеттік қызметшілерін қайта даярлау және олардың біліктілігін арттыру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көрсетудің нәтижесі мемлекеттік қызметшілерді қайта даярлау және біліктілігін арттырудың білім беру бағдарламаларына (бұдан әрі – бағдарлама) келісім берілгенін растайтын хат-келісім не мемлекеттік қызметті ұсынудан бас тарту туралы дәлелді жауапты қамтитын хат болып табылады.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Агенттік ғимаратында көрсетіледі. Ғимарат режимі: ғимаратқа кіру алдын ала жазылу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Ғимаратта тәулік бойлы күзет бекеті, өртке қарсы дабылқаққыш және басқа да қауіпсіздік шаралары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туралы ақпарат Агенттіктің www.kyzmet.kz интернет-ресурсында орналасқан, сондай-ақ мына телефондар бойынша беріледі: 8 (7172) 75-35-34, 75-35-85.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Агенттіктің жұмыс кестесі: сағат 09.00-ден 18.30-ға дейін, сағат 13.00-ден 14.30-ға дейінгі түскі үзіліспен, жексенбі, демалыс және 2007 жылғы 15 мамырдағы Еңбек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«Қазақстан Республикасындағы мерекелер туралы» Қазақстан Республикасының 2001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мереке күндерінен басқа күндері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көрсетудің мерзімдері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көрсетуден бас тартуға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толық емес топтамасын ұсынуы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кезең – білім беру бағдарламаларын келісуге жолдаған білім беру ұйымының хатын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кезең – мемлекеттік қызметті алушымен берілген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 топтамасын мемлекеттік қызметті көрсетуші тұлғаның пәнге сәйкестігін қарастыруы;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кезең – білім беру бағдарламаларын Қазақстан Республикасы Президентінің жанындағы Мемлекеттік басқару академиясына (бұдан әрі – Академия) ғылыми сараптамаға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кезең – білім беру бағдарламаларының пәнге сәйкестік комиссиясының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кезең – білім беру бағдарламаларына келісу нәтижесін жіберу.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әрекет (өзара әрекет) тәртібінің сипатталуы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мемлекеттік қызметті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Стандарттың 11-тармағында көрсетілген құжаттар Агенттіктің кеңсесіне тапсырылады немесе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 бойынша поштамен жолдау арқылы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қызметінің нәтижесі мемлекеттік қызметті алушыға хат қолма-қол немесе пошталық мекенжайына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Агенттікпен келісілген бағдарламалар келісілген күннен бастап бір жыл ішінде күшінде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Әр әкімшілік іс-қимылдың (рәсімдердің) орындалу мерзімі көрсетілген әр ҚФБ-нің әкімшілік іс-қимылдардың (рәсімдердің) бірізділігі мен өзара іс-әрекетінің мәтіндік сипаттамасы осы регламенттың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Функционалдық өзара іс-қимыл диаграммасы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«Мемлекеттік қызметшілерді қайта даярлау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біліктілігін арттырудың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бағдарламаларын келісу»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9"/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әрекетінің сипаттамасы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2768"/>
        <w:gridCol w:w="2904"/>
        <w:gridCol w:w="2291"/>
        <w:gridCol w:w="4436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ҚФБ атауы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Рәсім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Агенттік: кеңсе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Агенттік: орындаушы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Академияға сараптамаға жолдау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Академия: орындаушы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жүргізу, қорытынды дайындау, Қорытындыны Агенттікке жолдау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күнтізбелік күн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Агенттік: орындаушы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не дәлелді бас тарту хатын дайындау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қайта даярлау және біліктілігін арттырудың білім беру бағдарламаларына (бұдан әрі – бағдарлама) келісім берілгенін растайтын Агенттіктің ресми бланкідегі келісім-хаты немесе мемлекеттік қызмет көрсетуден бас тарту туралы дәлелді мазмұнды жауабы бар хат.</w:t>
            </w:r>
          </w:p>
        </w:tc>
      </w:tr>
    </w:tbl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«Мемлекеттік қызметшілерді қайта даярлау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біліктілігін арттырудың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бағдарламаларын келісу»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
</w:t>
      </w:r>
      <w:r>
        <w:rPr>
          <w:rFonts w:ascii="Times New Roman"/>
          <w:b/>
          <w:i w:val="false"/>
          <w:color w:val="000000"/>
          <w:sz w:val="28"/>
        </w:rPr>
        <w:t xml:space="preserve"> «Мемлекеттік қызметшілерді қайта даярлау және біліктілігін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арттырудың білім беру бағдарламаларын келісу»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мемлекеттік қызметінің процесі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2390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