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c864" w14:textId="109c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мемлекеттік электрондық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2012 жылғы 21 маусымдағы № 193-826 қаулысы. Астана қаласының Әділет департаментінде 2012 жылғы 28 маусымда нормативтік құқықтық кесімдерді Мемлекеттік тіркеудің тізіліміне № 733 болып енгізілді. Күші жойылды - Астана қаласы әкімдігінің 2014 жылғы 28 маусымдағы № 198-873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28.06.2014 жылғы </w:t>
      </w:r>
      <w:r>
        <w:rPr>
          <w:rFonts w:ascii="Times New Roman"/>
          <w:b w:val="false"/>
          <w:i w:val="false"/>
          <w:color w:val="ff0000"/>
          <w:sz w:val="28"/>
        </w:rPr>
        <w:t>№ 198-873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«Ұлттық мұрағат қоры және мұрағаттар туралы» 1998 жылғы 22 желтоқсандағы Қазақстан Республикасы Заңы 15-бабының </w:t>
      </w:r>
      <w:r>
        <w:rPr>
          <w:rFonts w:ascii="Times New Roman"/>
          <w:b w:val="false"/>
          <w:i w:val="false"/>
          <w:color w:val="000000"/>
          <w:sz w:val="28"/>
        </w:rPr>
        <w:t>5-тармағына</w:t>
      </w:r>
      <w:r>
        <w:rPr>
          <w:rFonts w:ascii="Times New Roman"/>
          <w:b w:val="false"/>
          <w:i w:val="false"/>
          <w:color w:val="000000"/>
          <w:sz w:val="28"/>
        </w:rPr>
        <w:t xml:space="preserve"> және «Әкімшілік рәсімдер туралы» 2000 жылғы 27 қарашадағы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сондай-ақ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2009 жылғы 30 желтоқсандағы № 2315 және Жеке және заңды тұлғаларға көрсетілетін мемлекеттік қызметтердің тізілімін бекіту туралы 2010 жылғы 20 шілдедегі № 745 қаулыларына өзгерістер мен толықтырулар енгізу туралы» Қазақстан Республикасы Үкіметінің 2011 жылғы 22 шілдедегі № 842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«Мұрағаттық анықтамалар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Мұрағаттар және құжаттамалар басқармасы» мемлекеттік мекемесінің бастығы осы қаулыны кейіннен бұқаралық ақпарат құралдарында жариялаумен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 аппаратының басшысы Ж.А. Мырзалинге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тіркеуден өткен күннен бастап күшіне енеді және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Әкім                                       И. Тасмағамбетов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r>
        <w:br/>
      </w:r>
      <w:r>
        <w:rPr>
          <w:rFonts w:ascii="Times New Roman"/>
          <w:b w:val="false"/>
          <w:i w:val="false"/>
          <w:color w:val="000000"/>
          <w:sz w:val="28"/>
        </w:rPr>
        <w:t>
</w:t>
      </w:r>
      <w:r>
        <w:rPr>
          <w:rFonts w:ascii="Times New Roman"/>
          <w:b w:val="false"/>
          <w:i/>
          <w:color w:val="000000"/>
          <w:sz w:val="28"/>
        </w:rPr>
        <w:t>      2012 жылғы 21 маусым</w:t>
      </w:r>
    </w:p>
    <w:bookmarkStart w:name="z6"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2012 жылғы 21 маусымдағы</w:t>
      </w:r>
      <w:r>
        <w:br/>
      </w:r>
      <w:r>
        <w:rPr>
          <w:rFonts w:ascii="Times New Roman"/>
          <w:b w:val="false"/>
          <w:i w:val="false"/>
          <w:color w:val="000000"/>
          <w:sz w:val="28"/>
        </w:rPr>
        <w:t xml:space="preserve">
№ 193-826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«Мұрағаттық анықтамалар беру»</w:t>
      </w:r>
      <w:r>
        <w:br/>
      </w:r>
      <w:r>
        <w:rPr>
          <w:rFonts w:ascii="Times New Roman"/>
          <w:b/>
          <w:i w:val="false"/>
          <w:color w:val="000000"/>
        </w:rPr>
        <w:t>
электрондық мемлекеттік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«Мұрағаттық анықтамалар беру» электрондық мемлекеттік қызмет (бұдан әрі – электрондық мемлекеттік қызмет) «Астана қаласының Мұрағаттар және құжаттамалар басқармасы» мемлекеттік мекемесімен және «Астана қаласының мемлекеттік мұрағаты» мемлекеттік мекемесі (бұдан әрі - ММ), баламалы түрде халыққа қызмет көрсету орталықтары (бұдан әрі - ХҚКО) арқылы, сондай-ақ «электрондық үкімет» веб-порталы:</w:t>
      </w:r>
      <w:r>
        <w:rPr>
          <w:rFonts w:ascii="Times New Roman"/>
          <w:b w:val="false"/>
          <w:i w:val="false"/>
          <w:color w:val="000000"/>
          <w:sz w:val="28"/>
          <w:u w:val="single"/>
        </w:rPr>
        <w:t xml:space="preserve"> www.e-gov.kz</w:t>
      </w:r>
      <w:r>
        <w:rPr>
          <w:rFonts w:ascii="Times New Roman"/>
          <w:b w:val="false"/>
          <w:i w:val="false"/>
          <w:color w:val="000000"/>
          <w:sz w:val="28"/>
        </w:rPr>
        <w:t xml:space="preserve"> (бұдан әрі - ЭҮП)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Қазақстан Республикасы Үкіметінің 2009 жылғы 30 желтоқсандағы № 2315 </w:t>
      </w:r>
      <w:r>
        <w:rPr>
          <w:rFonts w:ascii="Times New Roman"/>
          <w:b w:val="false"/>
          <w:i w:val="false"/>
          <w:color w:val="000000"/>
          <w:sz w:val="28"/>
        </w:rPr>
        <w:t>қаулысымен</w:t>
      </w:r>
      <w:r>
        <w:rPr>
          <w:rFonts w:ascii="Times New Roman"/>
          <w:b w:val="false"/>
          <w:i w:val="false"/>
          <w:color w:val="000000"/>
          <w:sz w:val="28"/>
        </w:rPr>
        <w:t xml:space="preserve"> бекітілген «Мұрағаттық анықтамалар беру» мемлекеттік қызмет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 (медиа - алшақтықты қамтымайтын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«Мұрағаттық анықтамалар беру» электрондық мемлекеттік қызмет регламентінде (бұдан әрі - Регламент)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бизнес - сәйкестіру нөмірі (бұдан әрі - БСН) - бірлескен кәсіпкерлік түрінде қызметтерді жүзеге асыратын заңды тұлға (филиал және өкілдік) және жеке кәсіпкер үшін қалыптастырылатын бірегей нөмір;</w:t>
      </w:r>
      <w:r>
        <w:br/>
      </w:r>
      <w:r>
        <w:rPr>
          <w:rFonts w:ascii="Times New Roman"/>
          <w:b w:val="false"/>
          <w:i w:val="false"/>
          <w:color w:val="000000"/>
          <w:sz w:val="28"/>
        </w:rPr>
        <w:t>
</w:t>
      </w:r>
      <w:r>
        <w:rPr>
          <w:rFonts w:ascii="Times New Roman"/>
          <w:b w:val="false"/>
          <w:i w:val="false"/>
          <w:color w:val="000000"/>
          <w:sz w:val="28"/>
        </w:rPr>
        <w:t>
      2) «электрондық үкіметтің» веб-порталы (бұдан әрі - ЭҮП) – нормативтік-құқықтық базаны қоса алғанда, барлық шоғырландырылған үкіметтік ақпаратқа және электрондық мемлекеттік қызметтерге бірыңғай терезесін білдіретін ақпараттық жүйе;</w:t>
      </w:r>
      <w:r>
        <w:br/>
      </w:r>
      <w:r>
        <w:rPr>
          <w:rFonts w:ascii="Times New Roman"/>
          <w:b w:val="false"/>
          <w:i w:val="false"/>
          <w:color w:val="000000"/>
          <w:sz w:val="28"/>
        </w:rPr>
        <w:t>
</w:t>
      </w:r>
      <w:r>
        <w:rPr>
          <w:rFonts w:ascii="Times New Roman"/>
          <w:b w:val="false"/>
          <w:i w:val="false"/>
          <w:color w:val="000000"/>
          <w:sz w:val="28"/>
        </w:rPr>
        <w:t>
      3) ЖАО - жергілікті атқарушы орган «Астана қаласының Мұрағаттар және құжаттамалар басқармасы» мемлекеттік мекемесі, электрондық мемлекеттік қызмет көрсететін мемлекеттік мұрағаттар;</w:t>
      </w:r>
      <w:r>
        <w:br/>
      </w:r>
      <w:r>
        <w:rPr>
          <w:rFonts w:ascii="Times New Roman"/>
          <w:b w:val="false"/>
          <w:i w:val="false"/>
          <w:color w:val="000000"/>
          <w:sz w:val="28"/>
        </w:rPr>
        <w:t>
</w:t>
      </w:r>
      <w:r>
        <w:rPr>
          <w:rFonts w:ascii="Times New Roman"/>
          <w:b w:val="false"/>
          <w:i w:val="false"/>
          <w:color w:val="000000"/>
          <w:sz w:val="28"/>
        </w:rPr>
        <w:t>
      4) жеке сәйкестендіру нөмірі (бұдан әрі - ЖСН),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w:t>
      </w:r>
      <w:r>
        <w:rPr>
          <w:rFonts w:ascii="Times New Roman"/>
          <w:b w:val="false"/>
          <w:i w:val="false"/>
          <w:color w:val="000000"/>
          <w:sz w:val="28"/>
        </w:rPr>
        <w:t>
      5) ақпараттық жүйе (бұдан әрі - АЖ) ақпараттық-бағдарламалық кешенді қолдану арқылы ақпаратты сақтау, өңдеу, іздеу, тарату, жіберу және ұсыну үшін арналған жүйе;</w:t>
      </w:r>
      <w:r>
        <w:br/>
      </w:r>
      <w:r>
        <w:rPr>
          <w:rFonts w:ascii="Times New Roman"/>
          <w:b w:val="false"/>
          <w:i w:val="false"/>
          <w:color w:val="000000"/>
          <w:sz w:val="28"/>
        </w:rPr>
        <w:t>
</w:t>
      </w:r>
      <w:r>
        <w:rPr>
          <w:rFonts w:ascii="Times New Roman"/>
          <w:b w:val="false"/>
          <w:i w:val="false"/>
          <w:color w:val="000000"/>
          <w:sz w:val="28"/>
        </w:rPr>
        <w:t>
      6) ҰКО АЖ - Қазақстан Республикасы Ұлттық куәландыру орталығының ақпараттық жүйесі;</w:t>
      </w:r>
      <w:r>
        <w:br/>
      </w:r>
      <w:r>
        <w:rPr>
          <w:rFonts w:ascii="Times New Roman"/>
          <w:b w:val="false"/>
          <w:i w:val="false"/>
          <w:color w:val="000000"/>
          <w:sz w:val="28"/>
        </w:rPr>
        <w:t>
</w:t>
      </w:r>
      <w:r>
        <w:rPr>
          <w:rFonts w:ascii="Times New Roman"/>
          <w:b w:val="false"/>
          <w:i w:val="false"/>
          <w:color w:val="000000"/>
          <w:sz w:val="28"/>
        </w:rPr>
        <w:t>
      7) ХҚКО АЖ – Халыққа қызмет көрсету орталығының ақпараттық жүйесі;</w:t>
      </w:r>
      <w:r>
        <w:br/>
      </w:r>
      <w:r>
        <w:rPr>
          <w:rFonts w:ascii="Times New Roman"/>
          <w:b w:val="false"/>
          <w:i w:val="false"/>
          <w:color w:val="000000"/>
          <w:sz w:val="28"/>
        </w:rPr>
        <w:t>
</w:t>
      </w:r>
      <w:r>
        <w:rPr>
          <w:rFonts w:ascii="Times New Roman"/>
          <w:b w:val="false"/>
          <w:i w:val="false"/>
          <w:color w:val="000000"/>
          <w:sz w:val="28"/>
        </w:rPr>
        <w:t>
      8) АЖ ЖАО – жергілікті атқару органның ақпараттық жүйесі Қазақстан Республикасының «электрондық үкімет» шлюзінің қосалқы жүйесі ретіндегі аймақтық шлюз», атап айтқанда жергілікті атқару органы қызметкерлерінің автоматтандырылған жұмыс орнын қосады;</w:t>
      </w:r>
      <w:r>
        <w:br/>
      </w:r>
      <w:r>
        <w:rPr>
          <w:rFonts w:ascii="Times New Roman"/>
          <w:b w:val="false"/>
          <w:i w:val="false"/>
          <w:color w:val="000000"/>
          <w:sz w:val="28"/>
        </w:rPr>
        <w:t>
</w:t>
      </w:r>
      <w:r>
        <w:rPr>
          <w:rFonts w:ascii="Times New Roman"/>
          <w:b w:val="false"/>
          <w:i w:val="false"/>
          <w:color w:val="000000"/>
          <w:sz w:val="28"/>
        </w:rPr>
        <w:t>
      9)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w:t>
      </w:r>
      <w:r>
        <w:rPr>
          <w:rFonts w:ascii="Times New Roman"/>
          <w:b w:val="false"/>
          <w:i w:val="false"/>
          <w:color w:val="000000"/>
          <w:sz w:val="28"/>
        </w:rPr>
        <w:t>
      10) пайдаланушы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11) тұтынушы – электрондық мемлекеттік қызмет көрсетілетін жеке және заңды тұлға;</w:t>
      </w:r>
      <w:r>
        <w:br/>
      </w:r>
      <w:r>
        <w:rPr>
          <w:rFonts w:ascii="Times New Roman"/>
          <w:b w:val="false"/>
          <w:i w:val="false"/>
          <w:color w:val="000000"/>
          <w:sz w:val="28"/>
        </w:rPr>
        <w:t>
</w:t>
      </w:r>
      <w:r>
        <w:rPr>
          <w:rFonts w:ascii="Times New Roman"/>
          <w:b w:val="false"/>
          <w:i w:val="false"/>
          <w:color w:val="000000"/>
          <w:sz w:val="28"/>
        </w:rPr>
        <w:t>
      12) ЭҮАШ - «электрондық үкіметтің» аймақтық шлюзі;</w:t>
      </w:r>
      <w:r>
        <w:br/>
      </w:r>
      <w:r>
        <w:rPr>
          <w:rFonts w:ascii="Times New Roman"/>
          <w:b w:val="false"/>
          <w:i w:val="false"/>
          <w:color w:val="000000"/>
          <w:sz w:val="28"/>
        </w:rPr>
        <w:t>
</w:t>
      </w:r>
      <w:r>
        <w:rPr>
          <w:rFonts w:ascii="Times New Roman"/>
          <w:b w:val="false"/>
          <w:i w:val="false"/>
          <w:color w:val="000000"/>
          <w:sz w:val="28"/>
        </w:rPr>
        <w:t>
      13) ақпаратты криптографиялық қорғау құралдары (бұдан әрі - АҚҚҚ) - оның мағынасын жасыру немесе аутенфикациясын қамтамасыз ету (аутентификация деп ақпараттың түпнұсқа екенің анықтау түсініледі және алынған ақпарат бұрмаланбай берілді дегенді білдіреді) мақсатында ақпаратты қайта құрудың алгоритмдері мен әдістері;</w:t>
      </w:r>
      <w:r>
        <w:br/>
      </w:r>
      <w:r>
        <w:rPr>
          <w:rFonts w:ascii="Times New Roman"/>
          <w:b w:val="false"/>
          <w:i w:val="false"/>
          <w:color w:val="000000"/>
          <w:sz w:val="28"/>
        </w:rPr>
        <w:t>
</w:t>
      </w:r>
      <w:r>
        <w:rPr>
          <w:rFonts w:ascii="Times New Roman"/>
          <w:b w:val="false"/>
          <w:i w:val="false"/>
          <w:color w:val="000000"/>
          <w:sz w:val="28"/>
        </w:rPr>
        <w:t>
      14) құрылымдық функционалдық бірліктер (бұдан әрі – ҚФБ) - электрондық мемлекеттік қызмет көрсету процесіне қатысатын мемлекеттік органдардың, мемлекеттік мекемелердің және өзге де ұйымдардың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
      15)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16) ХҚКО – Халыққа қызмет көрсету орталығы;</w:t>
      </w:r>
      <w:r>
        <w:br/>
      </w:r>
      <w:r>
        <w:rPr>
          <w:rFonts w:ascii="Times New Roman"/>
          <w:b w:val="false"/>
          <w:i w:val="false"/>
          <w:color w:val="000000"/>
          <w:sz w:val="28"/>
        </w:rPr>
        <w:t>
</w:t>
      </w:r>
      <w:r>
        <w:rPr>
          <w:rFonts w:ascii="Times New Roman"/>
          <w:b w:val="false"/>
          <w:i w:val="false"/>
          <w:color w:val="000000"/>
          <w:sz w:val="28"/>
        </w:rPr>
        <w:t>
      17) «электрондық үкіметтің» шлюзі (бұдан әрі - ЭҮШ) - электрондық қызметті іске асыру аясында «электрондық үкіметтің» ақпараттық жүйелерін интеграциялауға ақпараттық жүйе;</w:t>
      </w:r>
      <w:r>
        <w:br/>
      </w:r>
      <w:r>
        <w:rPr>
          <w:rFonts w:ascii="Times New Roman"/>
          <w:b w:val="false"/>
          <w:i w:val="false"/>
          <w:color w:val="000000"/>
          <w:sz w:val="28"/>
        </w:rPr>
        <w:t>
</w:t>
      </w:r>
      <w:r>
        <w:rPr>
          <w:rFonts w:ascii="Times New Roman"/>
          <w:b w:val="false"/>
          <w:i w:val="false"/>
          <w:color w:val="000000"/>
          <w:sz w:val="28"/>
        </w:rPr>
        <w:t>
      18) электрондық цифрлық қолтаңба (бұдан әрі – ЭЦҚ)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w:t>
      </w:r>
      <w:r>
        <w:br/>
      </w:r>
      <w:r>
        <w:rPr>
          <w:rFonts w:ascii="Times New Roman"/>
          <w:b w:val="false"/>
          <w:i w:val="false"/>
          <w:color w:val="000000"/>
          <w:sz w:val="28"/>
        </w:rPr>
        <w:t>
</w:t>
      </w:r>
      <w:r>
        <w:rPr>
          <w:rFonts w:ascii="Times New Roman"/>
          <w:b w:val="false"/>
          <w:i w:val="false"/>
          <w:color w:val="000000"/>
          <w:sz w:val="28"/>
        </w:rPr>
        <w:t>
      19) электрондық құжат – ақпарат электрондық-цифрлық нысанда берілген және ЭЦҚ арқылы куәландырылған құжат.</w:t>
      </w:r>
    </w:p>
    <w:bookmarkEnd w:id="4"/>
    <w:bookmarkStart w:name="z14" w:id="5"/>
    <w:p>
      <w:pPr>
        <w:spacing w:after="0"/>
        <w:ind w:left="0"/>
        <w:jc w:val="left"/>
      </w:pPr>
      <w:r>
        <w:rPr>
          <w:rFonts w:ascii="Times New Roman"/>
          <w:b/>
          <w:i w:val="false"/>
          <w:color w:val="000000"/>
        </w:rPr>
        <w:t xml:space="preserve"> 
2. Электрондық мемлекеттік қызметті көрсету жөніндегі</w:t>
      </w:r>
      <w:r>
        <w:br/>
      </w:r>
      <w:r>
        <w:rPr>
          <w:rFonts w:ascii="Times New Roman"/>
          <w:b/>
          <w:i w:val="false"/>
          <w:color w:val="000000"/>
        </w:rPr>
        <w:t>
қызмет беруші әрекетінің тәртібі</w:t>
      </w:r>
    </w:p>
    <w:bookmarkEnd w:id="5"/>
    <w:bookmarkStart w:name="z15" w:id="6"/>
    <w:p>
      <w:pPr>
        <w:spacing w:after="0"/>
        <w:ind w:left="0"/>
        <w:jc w:val="both"/>
      </w:pPr>
      <w:r>
        <w:rPr>
          <w:rFonts w:ascii="Times New Roman"/>
          <w:b w:val="false"/>
          <w:i w:val="false"/>
          <w:color w:val="000000"/>
          <w:sz w:val="28"/>
        </w:rPr>
        <w:t>
      6. ЖАО-ның электрондық мемлекеттік қызмет көрсету кезіндегі адымдық әрекеттері мен шешімдері (функционалдық өзара іс-қимылдың № 1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қызмет алу үшін өтініш және қажетті құжаттардың түпнұсқаларымен ЖАО-ға өтініш жасау тиіс. Тұтынушының өтінішін және құжаттардың түпнұсқалығын ЖАО-ның қызметкері тексереді;</w:t>
      </w:r>
      <w:r>
        <w:br/>
      </w:r>
      <w:r>
        <w:rPr>
          <w:rFonts w:ascii="Times New Roman"/>
          <w:b w:val="false"/>
          <w:i w:val="false"/>
          <w:color w:val="000000"/>
          <w:sz w:val="28"/>
        </w:rPr>
        <w:t>
</w:t>
      </w:r>
      <w:r>
        <w:rPr>
          <w:rFonts w:ascii="Times New Roman"/>
          <w:b w:val="false"/>
          <w:i w:val="false"/>
          <w:color w:val="000000"/>
          <w:sz w:val="28"/>
        </w:rPr>
        <w:t>
      2) 1-үдеріс - электрондық мемлекеттік қызмет көрсету үшін ЖАО қызметкерінің ЖАО АЖ-де ЖСН және парольді енгізу (авторизациялау үдерісі) үдерісі;</w:t>
      </w:r>
      <w:r>
        <w:br/>
      </w:r>
      <w:r>
        <w:rPr>
          <w:rFonts w:ascii="Times New Roman"/>
          <w:b w:val="false"/>
          <w:i w:val="false"/>
          <w:color w:val="000000"/>
          <w:sz w:val="28"/>
        </w:rPr>
        <w:t>
</w:t>
      </w:r>
      <w:r>
        <w:rPr>
          <w:rFonts w:ascii="Times New Roman"/>
          <w:b w:val="false"/>
          <w:i w:val="false"/>
          <w:color w:val="000000"/>
          <w:sz w:val="28"/>
        </w:rPr>
        <w:t>
      3) 1-шарт - ЖСН және пароль арқылы ЖАО АЖ-дан ЖАО-ның тіркелген қызметкері туралы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4) 2-үдеріс - ЖАО қызметкерінің деректерінде бұзушылықтар болуына байланысты ЖАО АЖ-да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ЖАО қызметкерінің осы Регламентте көрсетілген қызметті таңдауы, қызметті көрсету және оның құрылымы мен форматтық талаптарды ескере отырып, нысанды толтыру үшін сұрау салу нысанын экранға шығару (деректерді енгізу және сканерден өткізілген құжаттарды қосу);</w:t>
      </w:r>
      <w:r>
        <w:br/>
      </w:r>
      <w:r>
        <w:rPr>
          <w:rFonts w:ascii="Times New Roman"/>
          <w:b w:val="false"/>
          <w:i w:val="false"/>
          <w:color w:val="000000"/>
          <w:sz w:val="28"/>
        </w:rPr>
        <w:t>
</w:t>
      </w:r>
      <w:r>
        <w:rPr>
          <w:rFonts w:ascii="Times New Roman"/>
          <w:b w:val="false"/>
          <w:i w:val="false"/>
          <w:color w:val="000000"/>
          <w:sz w:val="28"/>
        </w:rPr>
        <w:t>
      6) 4-үдеріс – электрондық мемлекеттік қызмет көрсетуге сұрау салудың толтырылған нысанына (енгізілген деректерді, сканерден өткізілген құжаттарды қосу) ЖАО қызметкерінің ЭЦҚ арқылы қол қою;</w:t>
      </w:r>
      <w:r>
        <w:br/>
      </w:r>
      <w:r>
        <w:rPr>
          <w:rFonts w:ascii="Times New Roman"/>
          <w:b w:val="false"/>
          <w:i w:val="false"/>
          <w:color w:val="000000"/>
          <w:sz w:val="28"/>
        </w:rPr>
        <w:t>
</w:t>
      </w:r>
      <w:r>
        <w:rPr>
          <w:rFonts w:ascii="Times New Roman"/>
          <w:b w:val="false"/>
          <w:i w:val="false"/>
          <w:color w:val="000000"/>
          <w:sz w:val="28"/>
        </w:rPr>
        <w:t>
      7) 2-шарт сәйкестендіру деректерінің (сұрау салуда көрсетілген ЖСН (БСН) мен ЭЦҚ тіркеу куәлігінде көрсетілген ЖСН (БСН) арасындағы) сәйкестілігін, ЭЦҚ тіркеу куәлігінің мерзімін және ЖАО АЖ-да тіркеу куәлігінің қайта шақырылған (жойылған) тізімде жоқтығын тексеру;</w:t>
      </w:r>
      <w:r>
        <w:br/>
      </w:r>
      <w:r>
        <w:rPr>
          <w:rFonts w:ascii="Times New Roman"/>
          <w:b w:val="false"/>
          <w:i w:val="false"/>
          <w:color w:val="000000"/>
          <w:sz w:val="28"/>
        </w:rPr>
        <w:t>
</w:t>
      </w:r>
      <w:r>
        <w:rPr>
          <w:rFonts w:ascii="Times New Roman"/>
          <w:b w:val="false"/>
          <w:i w:val="false"/>
          <w:color w:val="000000"/>
          <w:sz w:val="28"/>
        </w:rPr>
        <w:t>
      8) 5-үдеріс - ЖАО қызметкерінің ЭЦҚ түпнұсқалығының растамауына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ЖАО қызметкердің электрондық мемлекеттік қызметті өңдеуі;</w:t>
      </w:r>
      <w:r>
        <w:br/>
      </w:r>
      <w:r>
        <w:rPr>
          <w:rFonts w:ascii="Times New Roman"/>
          <w:b w:val="false"/>
          <w:i w:val="false"/>
          <w:color w:val="000000"/>
          <w:sz w:val="28"/>
        </w:rPr>
        <w:t>
</w:t>
      </w:r>
      <w:r>
        <w:rPr>
          <w:rFonts w:ascii="Times New Roman"/>
          <w:b w:val="false"/>
          <w:i w:val="false"/>
          <w:color w:val="000000"/>
          <w:sz w:val="28"/>
        </w:rPr>
        <w:t>
      10) 7-үдеріс – ЖАО қызметкердің электрондық мемлекеттік қызметті көрсетудің нәтижесін (мұрағаттық анықтама, немесе мұрағаттық анықтаманы беруден дәлелді түрде бас тарту) қалыптастыру. Электрондық құжат ЖАО қызметкерінің ЭЦҚ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11) 8-үдеріс – ЖАО қызметкерінің электрондық мемлекеттік қызмет нәтижесін (мұрағаттық анықтаманы, немесе мұрағаттық анықтаманы беруден дәлелді түрде бас тартуды) қолма-қол немесе тұтынушының электрондық поштасына жіберу арқылы беруі.</w:t>
      </w:r>
      <w:r>
        <w:br/>
      </w:r>
      <w:r>
        <w:rPr>
          <w:rFonts w:ascii="Times New Roman"/>
          <w:b w:val="false"/>
          <w:i w:val="false"/>
          <w:color w:val="000000"/>
          <w:sz w:val="28"/>
        </w:rPr>
        <w:t>
</w:t>
      </w:r>
      <w:r>
        <w:rPr>
          <w:rFonts w:ascii="Times New Roman"/>
          <w:b w:val="false"/>
          <w:i w:val="false"/>
          <w:color w:val="000000"/>
          <w:sz w:val="28"/>
        </w:rPr>
        <w:t>
      7. ХҚКО-ның электрондық мемлекеттік қызмет көрсету кезіндегі адамдық әрекеттері мен шешімдері (функционалдық өзара іс-қимылдың № 2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1-үдеріс - электрондық мемлекеттік қызмет көрсету үшін ХҚКО АЖ-да ХҚКО операторының авторизациялау үдерісі;</w:t>
      </w:r>
      <w:r>
        <w:br/>
      </w:r>
      <w:r>
        <w:rPr>
          <w:rFonts w:ascii="Times New Roman"/>
          <w:b w:val="false"/>
          <w:i w:val="false"/>
          <w:color w:val="000000"/>
          <w:sz w:val="28"/>
        </w:rPr>
        <w:t>
</w:t>
      </w:r>
      <w:r>
        <w:rPr>
          <w:rFonts w:ascii="Times New Roman"/>
          <w:b w:val="false"/>
          <w:i w:val="false"/>
          <w:color w:val="000000"/>
          <w:sz w:val="28"/>
        </w:rPr>
        <w:t>
      2) 1-шарт - ХҚКО АЖ-да ЖСН немесе пароль ЭЦҚ арқылы тіркелген оператор туралы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3) 2 үдеріс - ХҚКО операторының деректеріне бұзушылықтар болуына байланысты ХҚКО АЖ-да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3-үдеріс - ХҚКО операторының осы Регламентте көрсетілген қызметті таңдауы, қызметі көрсету және оның құрылымы мен форматтық талаптарды ескере отырып, нысанды толтыру үшін сұрау салу нысанын экранға шығару (деректерді енгізу және сканерден өткізілген құжаттарды қосу);</w:t>
      </w:r>
      <w:r>
        <w:br/>
      </w:r>
      <w:r>
        <w:rPr>
          <w:rFonts w:ascii="Times New Roman"/>
          <w:b w:val="false"/>
          <w:i w:val="false"/>
          <w:color w:val="000000"/>
          <w:sz w:val="28"/>
        </w:rPr>
        <w:t>
</w:t>
      </w:r>
      <w:r>
        <w:rPr>
          <w:rFonts w:ascii="Times New Roman"/>
          <w:b w:val="false"/>
          <w:i w:val="false"/>
          <w:color w:val="000000"/>
          <w:sz w:val="28"/>
        </w:rPr>
        <w:t>
      5) 4-үдеріс – электрондық мемлекеттік қызмет көрсетуге сұрау салудың толтырылған нысанына (енгізілген деректерді өткізілген құжаттарды қосу) ХҚКО операторының ЭЦҚ арқылы қол қою;</w:t>
      </w:r>
      <w:r>
        <w:br/>
      </w:r>
      <w:r>
        <w:rPr>
          <w:rFonts w:ascii="Times New Roman"/>
          <w:b w:val="false"/>
          <w:i w:val="false"/>
          <w:color w:val="000000"/>
          <w:sz w:val="28"/>
        </w:rPr>
        <w:t>
</w:t>
      </w:r>
      <w:r>
        <w:rPr>
          <w:rFonts w:ascii="Times New Roman"/>
          <w:b w:val="false"/>
          <w:i w:val="false"/>
          <w:color w:val="000000"/>
          <w:sz w:val="28"/>
        </w:rPr>
        <w:t>
      6) 2 шарт – сәйкестендіру деректерінің (сұрау салуда көрсетілген ЖСН (БСН) мен ЭЦҚ тіркеу куәлігінде көрсетілген ЖСН (БСН) арасындағы) сәйкестілігін, ЭЦҚ тіркеу куәлігінің мерзімін және ХҚКО АЖ-да тіркеу куәлігінің қайта шақырылған (жойылған) тізімде жоқтығын тексеру;</w:t>
      </w:r>
      <w:r>
        <w:br/>
      </w:r>
      <w:r>
        <w:rPr>
          <w:rFonts w:ascii="Times New Roman"/>
          <w:b w:val="false"/>
          <w:i w:val="false"/>
          <w:color w:val="000000"/>
          <w:sz w:val="28"/>
        </w:rPr>
        <w:t>
</w:t>
      </w:r>
      <w:r>
        <w:rPr>
          <w:rFonts w:ascii="Times New Roman"/>
          <w:b w:val="false"/>
          <w:i w:val="false"/>
          <w:color w:val="000000"/>
          <w:sz w:val="28"/>
        </w:rPr>
        <w:t>
      7) 5-үдеріс – ХҚКО операторының ЭЦҚ түпнұсқалығының растамауына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ХҚКО операторының ЭЦҚ қол қойылған электрондық құжатты (тұтынушының сұрау салуын) ЭҮШ/ЭҮАШ арқылы ЖАО АЖ-ға және ЖАО электрондық мемлекеттік қызметті өңдеуі;</w:t>
      </w:r>
      <w:r>
        <w:br/>
      </w:r>
      <w:r>
        <w:rPr>
          <w:rFonts w:ascii="Times New Roman"/>
          <w:b w:val="false"/>
          <w:i w:val="false"/>
          <w:color w:val="000000"/>
          <w:sz w:val="28"/>
        </w:rPr>
        <w:t>
</w:t>
      </w:r>
      <w:r>
        <w:rPr>
          <w:rFonts w:ascii="Times New Roman"/>
          <w:b w:val="false"/>
          <w:i w:val="false"/>
          <w:color w:val="000000"/>
          <w:sz w:val="28"/>
        </w:rPr>
        <w:t>
      9) 7-үдеріс ЖАО қызметкердің электрондық мемлекеттік қызметті көрсетудің нәтижесін (мұрағаттық анықтаманы, немесе мұрағаттық анықтаманы беруден дәлелді түрде бас тартуды) қалыптастыруы. Электрондық құжат ЖАО қызметкерінің ЭЦҚ пайдаланумен қалыптастырылады және ХҚКО АЖ-ға жіберіледі;</w:t>
      </w:r>
      <w:r>
        <w:br/>
      </w:r>
      <w:r>
        <w:rPr>
          <w:rFonts w:ascii="Times New Roman"/>
          <w:b w:val="false"/>
          <w:i w:val="false"/>
          <w:color w:val="000000"/>
          <w:sz w:val="28"/>
        </w:rPr>
        <w:t>
</w:t>
      </w:r>
      <w:r>
        <w:rPr>
          <w:rFonts w:ascii="Times New Roman"/>
          <w:b w:val="false"/>
          <w:i w:val="false"/>
          <w:color w:val="000000"/>
          <w:sz w:val="28"/>
        </w:rPr>
        <w:t>
      10) 8-үдеріс – ХҚКО қызметкерінің шығыс құжатты қызметті тұтынушыға қолма-қол немесе электрондық поштаға жіберу арқылы беруі.</w:t>
      </w:r>
      <w:r>
        <w:br/>
      </w:r>
      <w:r>
        <w:rPr>
          <w:rFonts w:ascii="Times New Roman"/>
          <w:b w:val="false"/>
          <w:i w:val="false"/>
          <w:color w:val="000000"/>
          <w:sz w:val="28"/>
        </w:rPr>
        <w:t>
</w:t>
      </w:r>
      <w:r>
        <w:rPr>
          <w:rFonts w:ascii="Times New Roman"/>
          <w:b w:val="false"/>
          <w:i w:val="false"/>
          <w:color w:val="000000"/>
          <w:sz w:val="28"/>
        </w:rPr>
        <w:t>
      8. Қызмет берушінің ЭҮП арқылы электрондық мемлекеттік қызмет көрсету кезіндегі адымдық әрекеттері мен шешімдері (функционалдық өзара іс-қимылдың № 3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ЖСН (БСН) және парольдің көмегімен ЭҮП-те тіркеуі жүзеге асырылады (ЭҮП-те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электрондық мемлекеттік қызметті алу үшін тұтынушының ЖСН (БСН) және парольді ЭҮП-те енгізу үрдісі (авторизациялау үрдісі);</w:t>
      </w:r>
      <w:r>
        <w:br/>
      </w:r>
      <w:r>
        <w:rPr>
          <w:rFonts w:ascii="Times New Roman"/>
          <w:b w:val="false"/>
          <w:i w:val="false"/>
          <w:color w:val="000000"/>
          <w:sz w:val="28"/>
        </w:rPr>
        <w:t>
</w:t>
      </w:r>
      <w:r>
        <w:rPr>
          <w:rFonts w:ascii="Times New Roman"/>
          <w:b w:val="false"/>
          <w:i w:val="false"/>
          <w:color w:val="000000"/>
          <w:sz w:val="28"/>
        </w:rPr>
        <w:t>
      3) 1-шарт ЭҮП-те ЖСН (БСН) және пароль арқылы тіркелген тұтынушы туралы деректердің дұрыстығын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бұзушылықтар болуына байланысты ЭҮП-те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қызметті көрсету және оның құрылымы мен форматтық талаптары ескере отырып, тұтынушының нысаны толтыруы үшін сұрау нысанын экранға шығару (деректерді енгізу және сканерден өткізілген құжаттарды қосу);</w:t>
      </w:r>
      <w:r>
        <w:br/>
      </w:r>
      <w:r>
        <w:rPr>
          <w:rFonts w:ascii="Times New Roman"/>
          <w:b w:val="false"/>
          <w:i w:val="false"/>
          <w:color w:val="000000"/>
          <w:sz w:val="28"/>
        </w:rPr>
        <w:t>
</w:t>
      </w:r>
      <w:r>
        <w:rPr>
          <w:rFonts w:ascii="Times New Roman"/>
          <w:b w:val="false"/>
          <w:i w:val="false"/>
          <w:color w:val="000000"/>
          <w:sz w:val="28"/>
        </w:rPr>
        <w:t>
      6) 4-үдеріс – электрондық мемлекеттік қызметті көрсетуге сұрау салудың толтырылған нысанына (енгізілген деректерді, сканерден өткізілген құжаттарды қосу) тұтынушының ЭЦҚ арқылы қол қою;</w:t>
      </w:r>
      <w:r>
        <w:br/>
      </w:r>
      <w:r>
        <w:rPr>
          <w:rFonts w:ascii="Times New Roman"/>
          <w:b w:val="false"/>
          <w:i w:val="false"/>
          <w:color w:val="000000"/>
          <w:sz w:val="28"/>
        </w:rPr>
        <w:t>
</w:t>
      </w:r>
      <w:r>
        <w:rPr>
          <w:rFonts w:ascii="Times New Roman"/>
          <w:b w:val="false"/>
          <w:i w:val="false"/>
          <w:color w:val="000000"/>
          <w:sz w:val="28"/>
        </w:rPr>
        <w:t>
      7) 2-шарт – сәйкестендіру деректерінің (сұрау салуда көрсетілген ЖСН (БСН) мен ЭЦҚ тіркеу куәлігінде көрсетілген ЖСН (БСН) арасындағы) сәйкестілігін, ЭЦҚ тіркеу куәлігінің мерзімін және ЭҮП-те тіркеу куәлігінің қайта шақырылған (жойылған) тізімде жоқтығын тексеру;</w:t>
      </w:r>
      <w:r>
        <w:br/>
      </w:r>
      <w:r>
        <w:rPr>
          <w:rFonts w:ascii="Times New Roman"/>
          <w:b w:val="false"/>
          <w:i w:val="false"/>
          <w:color w:val="000000"/>
          <w:sz w:val="28"/>
        </w:rPr>
        <w:t>
</w:t>
      </w:r>
      <w:r>
        <w:rPr>
          <w:rFonts w:ascii="Times New Roman"/>
          <w:b w:val="false"/>
          <w:i w:val="false"/>
          <w:color w:val="000000"/>
          <w:sz w:val="28"/>
        </w:rPr>
        <w:t>
      8) 5-үдеріс - тұтынушының ЭЦҚ түпнұсқалығының растамауына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тұтынушының ЭЦҚ қол қойылған электрондық құжатты (тұтынушының сұрау салуын) ЭҮШ/ЭҮАШ арқылы ЖАО АЖ-ға жіберу және ЖАО қызметкерлердің электрондық мемлекеттік қызметті өңдеуі;</w:t>
      </w:r>
      <w:r>
        <w:br/>
      </w:r>
      <w:r>
        <w:rPr>
          <w:rFonts w:ascii="Times New Roman"/>
          <w:b w:val="false"/>
          <w:i w:val="false"/>
          <w:color w:val="000000"/>
          <w:sz w:val="28"/>
        </w:rPr>
        <w:t>
</w:t>
      </w:r>
      <w:r>
        <w:rPr>
          <w:rFonts w:ascii="Times New Roman"/>
          <w:b w:val="false"/>
          <w:i w:val="false"/>
          <w:color w:val="000000"/>
          <w:sz w:val="28"/>
        </w:rPr>
        <w:t>
      10) 7-үдеріс – ЖАО қызметкердің электрондық мемлекеттік қызметті көрсетудің нәтижесін (мұрағаттық анықтаманы, немесе мұрағаттық анықтаманы беруден дәлелді түрде бас тартуды) қалыптастыруы. Электрондық құжат ЖАО қызметкерінің ЭЦҚ пайдаланумен қалыптастырылады және ЭҮП-те жеке кабинетке жіберіледі.</w:t>
      </w:r>
      <w:r>
        <w:br/>
      </w:r>
      <w:r>
        <w:rPr>
          <w:rFonts w:ascii="Times New Roman"/>
          <w:b w:val="false"/>
          <w:i w:val="false"/>
          <w:color w:val="000000"/>
          <w:sz w:val="28"/>
        </w:rPr>
        <w:t>
</w:t>
      </w:r>
      <w:r>
        <w:rPr>
          <w:rFonts w:ascii="Times New Roman"/>
          <w:b w:val="false"/>
          <w:i w:val="false"/>
          <w:color w:val="000000"/>
          <w:sz w:val="28"/>
        </w:rPr>
        <w:t>
      9.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тұтынушыға мемлекеттік және орыс тілінде көрсетілетін электрондық мемлекеттік қызметке экрандық нысандар келтірілген:</w:t>
      </w:r>
      <w:r>
        <w:br/>
      </w:r>
      <w:r>
        <w:rPr>
          <w:rFonts w:ascii="Times New Roman"/>
          <w:b w:val="false"/>
          <w:i w:val="false"/>
          <w:color w:val="000000"/>
          <w:sz w:val="28"/>
        </w:rPr>
        <w:t>
</w:t>
      </w:r>
      <w:r>
        <w:rPr>
          <w:rFonts w:ascii="Times New Roman"/>
          <w:b w:val="false"/>
          <w:i w:val="false"/>
          <w:color w:val="000000"/>
          <w:sz w:val="28"/>
        </w:rPr>
        <w:t>
      сұрау салуды толтыру ЖСН (БСН) тұтынушының ЭҮП-те тіркелу нәтижесі бойынша автоматты түрде таңдалады;</w:t>
      </w:r>
      <w:r>
        <w:br/>
      </w:r>
      <w:r>
        <w:rPr>
          <w:rFonts w:ascii="Times New Roman"/>
          <w:b w:val="false"/>
          <w:i w:val="false"/>
          <w:color w:val="000000"/>
          <w:sz w:val="28"/>
        </w:rPr>
        <w:t>
</w:t>
      </w:r>
      <w:r>
        <w:rPr>
          <w:rFonts w:ascii="Times New Roman"/>
          <w:b w:val="false"/>
          <w:i w:val="false"/>
          <w:color w:val="000000"/>
          <w:sz w:val="28"/>
        </w:rPr>
        <w:t>
      сұрау салуда қол қою - тұтынушы «қол қою» кнопкасының көмегімен ЭЦҚ сұрау салуға қол қоюды жүзеге асырып, одан кейін сұрау салу ЖАО АЖ-ға өңдеуге жіберіледі.</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бойынша сұрау салуды орындау мәртебесін тұтынушының тексеру тәсілі. ЭҮП-те «Қызметтер алу тарихы» бөлімінде, сонымен қатар ЖАО-ға немесе ХҚКО-ға өтініш жасағанда.</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туралы ақпаратты алу, сондай-ақ қажет болған жағдайда олардың сапасын бағалау (оның ішінде шағымдану) үшін байланыс телефонының нөмірі: 8(7172) 216616; 8(7172) 796197, сондай-ақ call-центр: 1414.</w:t>
      </w:r>
    </w:p>
    <w:bookmarkEnd w:id="6"/>
    <w:bookmarkStart w:name="z77" w:id="7"/>
    <w:p>
      <w:pPr>
        <w:spacing w:after="0"/>
        <w:ind w:left="0"/>
        <w:jc w:val="left"/>
      </w:pPr>
      <w:r>
        <w:rPr>
          <w:rFonts w:ascii="Times New Roman"/>
          <w:b/>
          <w:i w:val="false"/>
          <w:color w:val="000000"/>
        </w:rPr>
        <w:t xml:space="preserve"> 
3. Электрондық мемлекеттік қызмет көрсету үдерісіндегі өзара</w:t>
      </w:r>
      <w:r>
        <w:br/>
      </w:r>
      <w:r>
        <w:rPr>
          <w:rFonts w:ascii="Times New Roman"/>
          <w:b/>
          <w:i w:val="false"/>
          <w:color w:val="000000"/>
        </w:rPr>
        <w:t>
іс-қимыл тәртібін сипаттау</w:t>
      </w:r>
    </w:p>
    <w:bookmarkEnd w:id="7"/>
    <w:bookmarkStart w:name="z78" w:id="8"/>
    <w:p>
      <w:pPr>
        <w:spacing w:after="0"/>
        <w:ind w:left="0"/>
        <w:jc w:val="both"/>
      </w:pPr>
      <w:r>
        <w:rPr>
          <w:rFonts w:ascii="Times New Roman"/>
          <w:b w:val="false"/>
          <w:i w:val="false"/>
          <w:color w:val="000000"/>
          <w:sz w:val="28"/>
        </w:rPr>
        <w:t>
      12. Электрондық мемлекеттік қызметті көрсету үдерісіне қатысатын ҚФБ тізбесі:</w:t>
      </w:r>
      <w:r>
        <w:br/>
      </w:r>
      <w:r>
        <w:rPr>
          <w:rFonts w:ascii="Times New Roman"/>
          <w:b w:val="false"/>
          <w:i w:val="false"/>
          <w:color w:val="000000"/>
          <w:sz w:val="28"/>
        </w:rPr>
        <w:t>
</w:t>
      </w:r>
      <w:r>
        <w:rPr>
          <w:rFonts w:ascii="Times New Roman"/>
          <w:b w:val="false"/>
          <w:i w:val="false"/>
          <w:color w:val="000000"/>
          <w:sz w:val="28"/>
        </w:rPr>
        <w:t>
      ЖАО;</w:t>
      </w:r>
      <w:r>
        <w:br/>
      </w:r>
      <w:r>
        <w:rPr>
          <w:rFonts w:ascii="Times New Roman"/>
          <w:b w:val="false"/>
          <w:i w:val="false"/>
          <w:color w:val="000000"/>
          <w:sz w:val="28"/>
        </w:rPr>
        <w:t>
</w:t>
      </w:r>
      <w:r>
        <w:rPr>
          <w:rFonts w:ascii="Times New Roman"/>
          <w:b w:val="false"/>
          <w:i w:val="false"/>
          <w:color w:val="000000"/>
          <w:sz w:val="28"/>
        </w:rPr>
        <w:t>
      ХҚКО;</w:t>
      </w:r>
      <w:r>
        <w:br/>
      </w:r>
      <w:r>
        <w:rPr>
          <w:rFonts w:ascii="Times New Roman"/>
          <w:b w:val="false"/>
          <w:i w:val="false"/>
          <w:color w:val="000000"/>
          <w:sz w:val="28"/>
        </w:rPr>
        <w:t>
</w:t>
      </w:r>
      <w:r>
        <w:rPr>
          <w:rFonts w:ascii="Times New Roman"/>
          <w:b w:val="false"/>
          <w:i w:val="false"/>
          <w:color w:val="000000"/>
          <w:sz w:val="28"/>
        </w:rPr>
        <w:t>
      ЭҮП;</w:t>
      </w:r>
      <w:r>
        <w:br/>
      </w:r>
      <w:r>
        <w:rPr>
          <w:rFonts w:ascii="Times New Roman"/>
          <w:b w:val="false"/>
          <w:i w:val="false"/>
          <w:color w:val="000000"/>
          <w:sz w:val="28"/>
        </w:rPr>
        <w:t>
</w:t>
      </w:r>
      <w:r>
        <w:rPr>
          <w:rFonts w:ascii="Times New Roman"/>
          <w:b w:val="false"/>
          <w:i w:val="false"/>
          <w:color w:val="000000"/>
          <w:sz w:val="28"/>
        </w:rPr>
        <w:t>
      ХҚКО АЖ;</w:t>
      </w:r>
      <w:r>
        <w:br/>
      </w:r>
      <w:r>
        <w:rPr>
          <w:rFonts w:ascii="Times New Roman"/>
          <w:b w:val="false"/>
          <w:i w:val="false"/>
          <w:color w:val="000000"/>
          <w:sz w:val="28"/>
        </w:rPr>
        <w:t>
</w:t>
      </w:r>
      <w:r>
        <w:rPr>
          <w:rFonts w:ascii="Times New Roman"/>
          <w:b w:val="false"/>
          <w:i w:val="false"/>
          <w:color w:val="000000"/>
          <w:sz w:val="28"/>
        </w:rPr>
        <w:t>
      ЭҮАШ (ЭҮШ);</w:t>
      </w:r>
      <w:r>
        <w:br/>
      </w:r>
      <w:r>
        <w:rPr>
          <w:rFonts w:ascii="Times New Roman"/>
          <w:b w:val="false"/>
          <w:i w:val="false"/>
          <w:color w:val="000000"/>
          <w:sz w:val="28"/>
        </w:rPr>
        <w:t>
</w:t>
      </w:r>
      <w:r>
        <w:rPr>
          <w:rFonts w:ascii="Times New Roman"/>
          <w:b w:val="false"/>
          <w:i w:val="false"/>
          <w:color w:val="000000"/>
          <w:sz w:val="28"/>
        </w:rPr>
        <w:t>
      ЖАО АЖ.</w:t>
      </w:r>
      <w:r>
        <w:br/>
      </w:r>
      <w:r>
        <w:rPr>
          <w:rFonts w:ascii="Times New Roman"/>
          <w:b w:val="false"/>
          <w:i w:val="false"/>
          <w:color w:val="000000"/>
          <w:sz w:val="28"/>
        </w:rPr>
        <w:t>
</w:t>
      </w:r>
      <w:r>
        <w:rPr>
          <w:rFonts w:ascii="Times New Roman"/>
          <w:b w:val="false"/>
          <w:i w:val="false"/>
          <w:color w:val="000000"/>
          <w:sz w:val="28"/>
        </w:rPr>
        <w:t>
      13. Әрбір іс-қимылдың орындалу мерзімін көрсете отырып, ҚФБ іс-қимылының дәйектілігінің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ҚФБ сипаттамасына сәйкес олардың (электрондық мемлекеттік қызмет көрсету үдерісінде) іс-қимылының қисынды дәйектілігі арасындағы өзара байланысты көрсететін № 1, 2, 3 диаграммалар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қызметті көрсету нәтижесі соған сәйкес ұсынылуы тиіс бланкілердің нысандары, үлгілері осы Регламентке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қызметті көрсету нәтижелері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сапа мен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қызметті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заңсыз түрде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қорғау);</w:t>
      </w:r>
      <w:r>
        <w:br/>
      </w:r>
      <w:r>
        <w:rPr>
          <w:rFonts w:ascii="Times New Roman"/>
          <w:b w:val="false"/>
          <w:i w:val="false"/>
          <w:color w:val="000000"/>
          <w:sz w:val="28"/>
        </w:rPr>
        <w:t>
</w:t>
      </w:r>
      <w:r>
        <w:rPr>
          <w:rFonts w:ascii="Times New Roman"/>
          <w:b w:val="false"/>
          <w:i w:val="false"/>
          <w:color w:val="000000"/>
          <w:sz w:val="28"/>
        </w:rPr>
        <w:t>
      3) көл жетімділік (ақпаратты және ресурстарды заңсыз ұстаудан қорғау);</w:t>
      </w:r>
      <w:r>
        <w:br/>
      </w:r>
      <w:r>
        <w:rPr>
          <w:rFonts w:ascii="Times New Roman"/>
          <w:b w:val="false"/>
          <w:i w:val="false"/>
          <w:color w:val="000000"/>
          <w:sz w:val="28"/>
        </w:rPr>
        <w:t>
</w:t>
      </w:r>
      <w:r>
        <w:rPr>
          <w:rFonts w:ascii="Times New Roman"/>
          <w:b w:val="false"/>
          <w:i w:val="false"/>
          <w:color w:val="000000"/>
          <w:sz w:val="28"/>
        </w:rPr>
        <w:t>
      4) тұтынушы белгіленген мерзімде ала алмаған құжаттардың сақталуы.</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Интернетке шығу, ЖСН/БСН болуы, ЭҮП авторизациялау, тұтынушыда ЭЦК-ның болуы.</w:t>
      </w:r>
    </w:p>
    <w:bookmarkEnd w:id="8"/>
    <w:bookmarkStart w:name="z96" w:id="9"/>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9"/>
    <w:p>
      <w:pPr>
        <w:spacing w:after="0"/>
        <w:ind w:left="0"/>
        <w:jc w:val="left"/>
      </w:pPr>
      <w:r>
        <w:rPr>
          <w:rFonts w:ascii="Times New Roman"/>
          <w:b/>
          <w:i w:val="false"/>
          <w:color w:val="000000"/>
        </w:rPr>
        <w:t xml:space="preserve"> 1-кесте. ЖАО арқылы іс-қимылдарды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433"/>
        <w:gridCol w:w="2013"/>
        <w:gridCol w:w="502"/>
        <w:gridCol w:w="2553"/>
        <w:gridCol w:w="1813"/>
        <w:gridCol w:w="24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іс-қимылы (жұмыс барысы, ағыны)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(жұмыс барысы, ағыны)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(үдеріс, рәсім, операциялар) және бейнесі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құжаттардың түпнұсқалылығын тексеру, ЖАО АЖ-ға мәліметтер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қызметкерлері жүйеде авторизациялау үдерісінен өтеді және электрондық мемлекеттік қызмет көрсетудегі нысанын толтырады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мен ХҚКО АЖ арасындағы мәртебе туралы ескертуді бағыттау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мәртебесі көрсетілген ескертуді қалыптастыру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алуға өтініш пен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сұрауды тіркеу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Түскендердің мәртебесін көрсету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іс-қимылы (жұмыс барысы, ағыны)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р/н № (жұмыс барысы, ағыны)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(үдеріс, рәсім, операциялар) және бейнесі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орындау. Мұрағаттық анықтама бойынша деректерді қағаз және электронды тасымалдаушы дерек басазында іздеу. Шешім қабылдау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құжаттарын жасау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мен ХҚКО АЖ арасындағы мәртебе туралы ескертуді бағыттау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мәртебесі қалыптастыруда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ұйымдастыру-тарату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анықтаманы немесе дәлел түрде бас тарту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жасау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мәртебесін қалыптастыру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іс-қимылы (жұмыс барысы, бағыты)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р/с № (жұмыс барысы, ағыны)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(үдеріс, рәсім, операциялар) және бейнесі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ЖАО қызметкерінің ЭЦҚ-мен қол қою. ЖАО АЖ мен ХҚКО АЖ арасындағы мәртебесі туралы ескертуді бағыттау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мен ХҚКО АЖ арасындағы мәртебесі туралы ескертуді бағыттау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мәртебесін қалыптастыруда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ұйымдастыру-тарату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қызметкерлерінің электрондық мемлекеттік қызмет нәтижесін қолма-қол немесе тұтынушының электрондық поштасына жіберу арқылы беруі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қызметкерлерінің ЭЦП арқылы қойған шығыс құжат. ХҚКО-ға мәртебесі ауысқаны туралы ескерту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Сұраудағы бағыттау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мәртебесін қалыптастыруда және шығыс құжатты беру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7" w:id="10"/>
    <w:p>
      <w:pPr>
        <w:spacing w:after="0"/>
        <w:ind w:left="0"/>
        <w:jc w:val="left"/>
      </w:pPr>
      <w:r>
        <w:rPr>
          <w:rFonts w:ascii="Times New Roman"/>
          <w:b/>
          <w:i w:val="false"/>
          <w:color w:val="000000"/>
        </w:rPr>
        <w:t xml:space="preserve"> 
2-кесте. ХҚКО арқылы іс-қимылдарды бейнелеу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193"/>
        <w:gridCol w:w="406"/>
        <w:gridCol w:w="203"/>
        <w:gridCol w:w="1353"/>
        <w:gridCol w:w="2373"/>
        <w:gridCol w:w="1813"/>
        <w:gridCol w:w="1813"/>
        <w:gridCol w:w="18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іс-қимылы (жұмыс барысы, ағыны)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р/с № (жұмыс барысы, ағыны)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(үдеріс, рәсім, операциялар) және олардың бейнесі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құжаттардың шынайылығын тексеру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 жүйеде авторизациялау үдерісін өтеді және электрондық мемлекеттік қызмет көрсетудегі нысанын толтырады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мен ЖАО АЖ арасындағы мәртебесі туралы ескертуді бағыттау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мәртебелері және орындауға жіберу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орындау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алуға өтініш пен құжаттар қабылдау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сұрауды тексеру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дан ЖАО АЖ-ға түскені туралы мәртебесін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іс-қимылы (жұмыс барысы, ағыны)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р/с (жұмыс барысы, ағыны)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(үдеріс, рәсім, операциялар) және олардың бейнесі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орындау. Мұрағаттық анықтама бойынша деректерді қағаз және электронды тасамалдаушы дерек басазында іздеу. Шешім қабылдау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құжаттарын жасау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мен ХҚКО АЖ арасындағы мәртебе туралы ескертуді бағыттау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мәртебесін қалыптастыруда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құжатты ХҚКО жіберу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АЖ-ға ескертпені жіберу. Орындалу мәртебесін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мәртебесін қалыптастыру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іс-қимылы (жұмыс барысы, ағыны)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р/с (жұмыс барысы, ағыны)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(үдеріс, рәсім, операциялар) және олардың бейнесі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ЖАО қызметкерлерінің ЭЦҚ-мен қол қою. ЖАО АЖ мен ХҚКО АЖ арасындағы мәртебесі туралы ескертуді бағыттау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мен ХҚКО АЖ арасындағы мәртебесі туралы ескертуді бағыттау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аяқталғаны туралы мәртебені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қызметкерлерінің электрондық мемлекеттік қызмет нәтижесін қолма-қол немесе тұтынушының электрондық поштасына жіберу арқылы беру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қол қойылған шығыс құжатты тапсыру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құжаттарының ескертуін жіберу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мәртебесін қалыптастыруда және шығыс құжатты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құжаттарын беру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8" w:id="11"/>
    <w:p>
      <w:pPr>
        <w:spacing w:after="0"/>
        <w:ind w:left="0"/>
        <w:jc w:val="left"/>
      </w:pPr>
      <w:r>
        <w:rPr>
          <w:rFonts w:ascii="Times New Roman"/>
          <w:b/>
          <w:i w:val="false"/>
          <w:color w:val="000000"/>
        </w:rPr>
        <w:t xml:space="preserve"> 
3-кесте. ЭҮП арқылы іс-қимылдарды бейнелеу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2033"/>
        <w:gridCol w:w="2161"/>
        <w:gridCol w:w="2097"/>
        <w:gridCol w:w="1885"/>
        <w:gridCol w:w="1693"/>
        <w:gridCol w:w="18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іс-қимылы (жұмыс барысы, ағыны)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р/с (жұмыс барысы, ағыны)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(үдеріс, рәсім, операциялар) және олардың бейнесі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ЭҮП авторизациялау үдерісін өтеді және электрондық мемлекеттік қызмет көрсетудегі нысанын толтырады, өтініш пен құжаттардың шынайылығын тексеру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ескертуді бағыттау және ХҚКО АЖ (енгізілген деректерінің дұрыс болған жағдайда)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Түскен туралы мәртебесін көрсете отырып ескерту (енгізілген деректердің дұрыс болған жағдайда)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ЭҮП-тен ХҚКО АЖ-ға түскендер мәртебесін көрсету (енгізілген деректердің дұрыс болған жағдайда)</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 (енгізілген деректердің дұрыс болған жағдайда)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немесе сұранысты сәтті қалыптастыру туралы ескертуді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 (енгізілген деректердің дұрыс болған жағдайда)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ЭҮП-тен ХҚКО АЖ-ға түскендер мәртебесін көрсету (енгізген деректердің дұрыс болған жағдайда)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Мәртебесін көрсету (енгізілген деректердің дұрыс болған жағдайда)</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алуға өтініш пен құжаттар қабылдау (енгізілген деректердің дұрыс болған жағдайда)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іс-қимылы (жұмыс барысы, ағыны)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р/с (жұмыс барысы, ағыны)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(үдеріс, рәсім, операциялар) және олардың бейнесі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орындау. Мұрағаттық анықтама берудегі жауапты немесе негізделген бас тартуды құрастыру. Шешім қабылдау.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жасау.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пен ХҚКО АЖ арасындағы мәртебесі «іске алынған» туралы ескертуді бағыттау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мәртебесі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мәртебесі мен ескертуін көрсету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анықтаманы немесе дәлел түрде бас тарту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жасау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мәртебесін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мәртебесін көрсету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тен 30 күн күнтізбелік күнге дейін (жекелеген жағдайларда 6 айға дейін)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іс-қимылы (жұмыс барысы, ағыны)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 р/с (жұмыс барысы, ағыны)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(үдеріс, рәсім, операциялар) және олардың бейнесі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ЖАО қызметкерінің ЭЦҚ-мен қол қою. ЭҮП пен ХҚКО АЖ арасындағы мәртебесі туралы ескертуді бағыттау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АЖ-ға мәртебесі туралы ескертуді бағыттау ЭҮП-ке шығыс құжаттың мәртебесі туралы ескертуді көрсету.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аяқталғаны туралы мәртебені және шығыс құжатты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ескертуді көрсету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ЭҮП-ке шығыс құжат пен ескертуді жолдау және ХҚКО АЖ-ға мәртебесі туралы бағыттау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мәртебесін көрсету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Аталған кестеде ЭҮП, АЖ және барлық ҚФБ іс-қимылдарының аяқталу нысандары, орындалу мерзімдері және кейінгі іс-қимылдар нөмірлерін мемлекеттік қызмет көрсету үдерісінің технологиялық тізбесінде көрсете отырып беріледі. Осы регламенттің 1-қосымшасы өзара іс-қимыл диаграммалары жасалынады.</w:t>
      </w:r>
    </w:p>
    <w:bookmarkStart w:name="z103" w:id="12"/>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2"/>
    <w:p>
      <w:pPr>
        <w:spacing w:after="0"/>
        <w:ind w:left="0"/>
        <w:jc w:val="both"/>
      </w:pPr>
      <w:r>
        <w:drawing>
          <wp:inline distT="0" distB="0" distL="0" distR="0">
            <wp:extent cx="83820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82000" cy="4902200"/>
                    </a:xfrm>
                    <a:prstGeom prst="rect">
                      <a:avLst/>
                    </a:prstGeom>
                  </pic:spPr>
                </pic:pic>
              </a:graphicData>
            </a:graphic>
          </wp:inline>
        </w:drawing>
      </w:r>
    </w:p>
    <w:p>
      <w:pPr>
        <w:spacing w:after="0"/>
        <w:ind w:left="0"/>
        <w:jc w:val="both"/>
      </w:pPr>
      <w:r>
        <w:drawing>
          <wp:inline distT="0" distB="0" distL="0" distR="0">
            <wp:extent cx="82296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29600" cy="5664200"/>
                    </a:xfrm>
                    <a:prstGeom prst="rect">
                      <a:avLst/>
                    </a:prstGeom>
                  </pic:spPr>
                </pic:pic>
              </a:graphicData>
            </a:graphic>
          </wp:inline>
        </w:drawing>
      </w:r>
    </w:p>
    <w:p>
      <w:pPr>
        <w:spacing w:after="0"/>
        <w:ind w:left="0"/>
        <w:jc w:val="both"/>
      </w:pPr>
      <w:r>
        <w:drawing>
          <wp:inline distT="0" distB="0" distL="0" distR="0">
            <wp:extent cx="79629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62900" cy="5715000"/>
                    </a:xfrm>
                    <a:prstGeom prst="rect">
                      <a:avLst/>
                    </a:prstGeom>
                  </pic:spPr>
                </pic:pic>
              </a:graphicData>
            </a:graphic>
          </wp:inline>
        </w:drawing>
      </w:r>
    </w:p>
    <w:p>
      <w:pPr>
        <w:spacing w:after="0"/>
        <w:ind w:left="0"/>
        <w:jc w:val="both"/>
      </w:pPr>
      <w:r>
        <w:drawing>
          <wp:inline distT="0" distB="0" distL="0" distR="0">
            <wp:extent cx="70866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86600" cy="5854700"/>
                    </a:xfrm>
                    <a:prstGeom prst="rect">
                      <a:avLst/>
                    </a:prstGeom>
                  </pic:spPr>
                </pic:pic>
              </a:graphicData>
            </a:graphic>
          </wp:inline>
        </w:drawing>
      </w:r>
    </w:p>
    <w:bookmarkStart w:name="z100" w:id="13"/>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13"/>
    <w:p>
      <w:pPr>
        <w:spacing w:after="0"/>
        <w:ind w:left="0"/>
        <w:jc w:val="both"/>
      </w:pPr>
      <w:r>
        <w:drawing>
          <wp:inline distT="0" distB="0" distL="0" distR="0">
            <wp:extent cx="77724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72400" cy="5029200"/>
                    </a:xfrm>
                    <a:prstGeom prst="rect">
                      <a:avLst/>
                    </a:prstGeom>
                  </pic:spPr>
                </pic:pic>
              </a:graphicData>
            </a:graphic>
          </wp:inline>
        </w:drawing>
      </w:r>
    </w:p>
    <w:p>
      <w:pPr>
        <w:spacing w:after="0"/>
        <w:ind w:left="0"/>
        <w:jc w:val="both"/>
      </w:pPr>
      <w:r>
        <w:drawing>
          <wp:inline distT="0" distB="0" distL="0" distR="0">
            <wp:extent cx="83820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382000" cy="7213600"/>
                    </a:xfrm>
                    <a:prstGeom prst="rect">
                      <a:avLst/>
                    </a:prstGeom>
                  </pic:spPr>
                </pic:pic>
              </a:graphicData>
            </a:graphic>
          </wp:inline>
        </w:drawing>
      </w:r>
    </w:p>
    <w:p>
      <w:pPr>
        <w:spacing w:after="0"/>
        <w:ind w:left="0"/>
        <w:jc w:val="both"/>
      </w:pPr>
      <w:r>
        <w:drawing>
          <wp:inline distT="0" distB="0" distL="0" distR="0">
            <wp:extent cx="80645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064500" cy="7505700"/>
                    </a:xfrm>
                    <a:prstGeom prst="rect">
                      <a:avLst/>
                    </a:prstGeom>
                  </pic:spPr>
                </pic:pic>
              </a:graphicData>
            </a:graphic>
          </wp:inline>
        </w:drawing>
      </w:r>
    </w:p>
    <w:p>
      <w:pPr>
        <w:spacing w:after="0"/>
        <w:ind w:left="0"/>
        <w:jc w:val="both"/>
      </w:pPr>
      <w:r>
        <w:drawing>
          <wp:inline distT="0" distB="0" distL="0" distR="0">
            <wp:extent cx="82804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280400" cy="7556500"/>
                    </a:xfrm>
                    <a:prstGeom prst="rect">
                      <a:avLst/>
                    </a:prstGeom>
                  </pic:spPr>
                </pic:pic>
              </a:graphicData>
            </a:graphic>
          </wp:inline>
        </w:drawing>
      </w:r>
      <w:r>
        <w:rPr>
          <w:rFonts w:ascii="Times New Roman"/>
          <w:b w:val="false"/>
          <w:i w:val="false"/>
          <w:color w:val="000000"/>
          <w:sz w:val="28"/>
        </w:rPr>
        <w:t> </w:t>
      </w:r>
    </w:p>
    <w:p>
      <w:pPr>
        <w:spacing w:after="0"/>
        <w:ind w:left="0"/>
        <w:jc w:val="both"/>
      </w:pPr>
      <w:r>
        <w:drawing>
          <wp:inline distT="0" distB="0" distL="0" distR="0">
            <wp:extent cx="7835900" cy="746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35900" cy="7467600"/>
                    </a:xfrm>
                    <a:prstGeom prst="rect">
                      <a:avLst/>
                    </a:prstGeom>
                  </pic:spPr>
                </pic:pic>
              </a:graphicData>
            </a:graphic>
          </wp:inline>
        </w:drawing>
      </w:r>
    </w:p>
    <w:p>
      <w:pPr>
        <w:spacing w:after="0"/>
        <w:ind w:left="0"/>
        <w:jc w:val="both"/>
      </w:pPr>
      <w:r>
        <w:drawing>
          <wp:inline distT="0" distB="0" distL="0" distR="0">
            <wp:extent cx="80137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13700" cy="6819900"/>
                    </a:xfrm>
                    <a:prstGeom prst="rect">
                      <a:avLst/>
                    </a:prstGeom>
                  </pic:spPr>
                </pic:pic>
              </a:graphicData>
            </a:graphic>
          </wp:inline>
        </w:drawing>
      </w:r>
    </w:p>
    <w:bookmarkStart w:name="z101" w:id="14"/>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4-қосымша         </w:t>
      </w:r>
    </w:p>
    <w:bookmarkEnd w:id="14"/>
    <w:p>
      <w:pPr>
        <w:spacing w:after="0"/>
        <w:ind w:left="0"/>
        <w:jc w:val="both"/>
      </w:pPr>
      <w:r>
        <w:drawing>
          <wp:inline distT="0" distB="0" distL="0" distR="0">
            <wp:extent cx="7797800" cy="895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97800" cy="8953500"/>
                    </a:xfrm>
                    <a:prstGeom prst="rect">
                      <a:avLst/>
                    </a:prstGeom>
                  </pic:spPr>
                </pic:pic>
              </a:graphicData>
            </a:graphic>
          </wp:inline>
        </w:drawing>
      </w:r>
    </w:p>
    <w:bookmarkStart w:name="z102" w:id="15"/>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5-қосымша         </w:t>
      </w:r>
    </w:p>
    <w:bookmarkEnd w:id="15"/>
    <w:p>
      <w:pPr>
        <w:spacing w:after="0"/>
        <w:ind w:left="0"/>
        <w:jc w:val="both"/>
      </w:pPr>
      <w:r>
        <w:drawing>
          <wp:inline distT="0" distB="0" distL="0" distR="0">
            <wp:extent cx="7556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556500" cy="6337300"/>
                    </a:xfrm>
                    <a:prstGeom prst="rect">
                      <a:avLst/>
                    </a:prstGeom>
                  </pic:spPr>
                </pic:pic>
              </a:graphicData>
            </a:graphic>
          </wp:inline>
        </w:drawing>
      </w:r>
    </w:p>
    <w:bookmarkStart w:name="z99" w:id="16"/>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6-қосымша         </w:t>
      </w:r>
    </w:p>
    <w:bookmarkEnd w:id="16"/>
    <w:bookmarkStart w:name="z104" w:id="17"/>
    <w:p>
      <w:pPr>
        <w:spacing w:after="0"/>
        <w:ind w:left="0"/>
        <w:jc w:val="both"/>
      </w:pPr>
      <w:r>
        <w:rPr>
          <w:rFonts w:ascii="Times New Roman"/>
          <w:b w:val="false"/>
          <w:i w:val="false"/>
          <w:color w:val="000000"/>
          <w:sz w:val="28"/>
        </w:rPr>
        <w:t>
</w:t>
      </w:r>
      <w:r>
        <w:rPr>
          <w:rFonts w:ascii="Times New Roman"/>
          <w:b/>
          <w:i w:val="false"/>
          <w:color w:val="000000"/>
          <w:sz w:val="28"/>
        </w:rPr>
        <w:t>      Электрондық мемлекеттік қызметтерінің "сапа" және</w:t>
      </w:r>
      <w:r>
        <w:br/>
      </w:r>
      <w:r>
        <w:rPr>
          <w:rFonts w:ascii="Times New Roman"/>
          <w:b w:val="false"/>
          <w:i w:val="false"/>
          <w:color w:val="000000"/>
          <w:sz w:val="28"/>
        </w:rPr>
        <w:t>
</w:t>
      </w:r>
      <w:r>
        <w:rPr>
          <w:rFonts w:ascii="Times New Roman"/>
          <w:b/>
          <w:i w:val="false"/>
          <w:color w:val="000000"/>
          <w:sz w:val="28"/>
        </w:rPr>
        <w:t>"қолжетімділік" көрсеткіштерін анықтау үшін сауалнаманың нысаны</w:t>
      </w:r>
    </w:p>
    <w:bookmarkEnd w:id="17"/>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(қызметтің атауы)</w:t>
      </w:r>
    </w:p>
    <w:bookmarkStart w:name="z105" w:id="18"/>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